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823" w:rsidRDefault="00432823" w:rsidP="00B8777A">
      <w:pPr>
        <w:rPr>
          <w:rFonts w:ascii="Times New Roman" w:hAnsi="Times New Roman" w:cs="Times New Roman"/>
          <w:b/>
          <w:sz w:val="28"/>
          <w:szCs w:val="28"/>
        </w:rPr>
      </w:pPr>
      <w:bookmarkStart w:id="0" w:name="_GoBack"/>
      <w:bookmarkEnd w:id="0"/>
    </w:p>
    <w:p w:rsidR="00964111" w:rsidRPr="00B808A6" w:rsidRDefault="00284D19" w:rsidP="00964111">
      <w:pPr>
        <w:jc w:val="center"/>
        <w:rPr>
          <w:rFonts w:ascii="Times New Roman" w:hAnsi="Times New Roman" w:cs="Times New Roman"/>
          <w:b/>
          <w:sz w:val="28"/>
          <w:szCs w:val="28"/>
        </w:rPr>
      </w:pPr>
      <w:r w:rsidRPr="00B808A6">
        <w:rPr>
          <w:rFonts w:ascii="Times New Roman" w:hAnsi="Times New Roman" w:cs="Times New Roman"/>
          <w:b/>
          <w:sz w:val="28"/>
          <w:szCs w:val="28"/>
        </w:rPr>
        <w:t>До відома та ознайомлення мешканців Калуської міської територіальної громади звіт Івано-Франківського національного технічного університету нафти і газу на тему</w:t>
      </w:r>
      <w:r w:rsidR="00964111" w:rsidRPr="00B808A6">
        <w:rPr>
          <w:rFonts w:ascii="Times New Roman" w:hAnsi="Times New Roman" w:cs="Times New Roman"/>
          <w:b/>
          <w:sz w:val="28"/>
          <w:szCs w:val="28"/>
        </w:rPr>
        <w:t>: «Запровадження екологічного моніторингу стану довкілля, контролю засоленості поверхневих і підземних вод, зон просідань та гірничих розробок на території гірничо-хімічних підприємств міста Калуш та сіл Сівка-Калуська і Кропивник»</w:t>
      </w:r>
    </w:p>
    <w:p w:rsidR="00284D19" w:rsidRPr="00B808A6" w:rsidRDefault="00284D19" w:rsidP="00964111">
      <w:pPr>
        <w:ind w:firstLine="708"/>
        <w:rPr>
          <w:rFonts w:ascii="Times New Roman" w:hAnsi="Times New Roman" w:cs="Times New Roman"/>
          <w:b/>
          <w:sz w:val="28"/>
          <w:szCs w:val="28"/>
        </w:rPr>
      </w:pPr>
    </w:p>
    <w:p w:rsidR="000F7221" w:rsidRPr="00B808A6" w:rsidRDefault="000F7221" w:rsidP="000F7221">
      <w:pPr>
        <w:shd w:val="clear" w:color="auto" w:fill="FFFFFF"/>
        <w:ind w:firstLine="709"/>
        <w:jc w:val="both"/>
        <w:rPr>
          <w:rFonts w:ascii="Times New Roman" w:hAnsi="Times New Roman" w:cs="Times New Roman"/>
          <w:sz w:val="28"/>
          <w:szCs w:val="28"/>
        </w:rPr>
      </w:pPr>
      <w:r w:rsidRPr="00B808A6">
        <w:rPr>
          <w:rFonts w:ascii="Times New Roman" w:hAnsi="Times New Roman" w:cs="Times New Roman"/>
          <w:sz w:val="28"/>
          <w:szCs w:val="28"/>
        </w:rPr>
        <w:t>Як уже повідомлялось раніше у засобах масової інформації, відповідно до запиту про виділення коштів з обласного фонду охорони навколишнього природного середовища Калуській міській раді було виділено 420,0 тис. грн. За результатами переговорної процедури на закупівлю послуги управлінням з питань надзвичайних ситуацій Калуської міської ради було укладено договір № 06 від 14.06.2021 року з Івано-Франківським національним університетом нафти і газу.</w:t>
      </w:r>
    </w:p>
    <w:p w:rsidR="000F7221" w:rsidRPr="00B808A6" w:rsidRDefault="000F7221" w:rsidP="000F7221">
      <w:pPr>
        <w:ind w:firstLine="708"/>
        <w:jc w:val="both"/>
        <w:rPr>
          <w:rFonts w:ascii="Times New Roman" w:hAnsi="Times New Roman" w:cs="Times New Roman"/>
          <w:sz w:val="28"/>
          <w:szCs w:val="28"/>
        </w:rPr>
      </w:pPr>
      <w:r w:rsidRPr="00B808A6">
        <w:rPr>
          <w:rFonts w:ascii="Times New Roman" w:hAnsi="Times New Roman" w:cs="Times New Roman"/>
          <w:sz w:val="28"/>
          <w:szCs w:val="28"/>
        </w:rPr>
        <w:t xml:space="preserve">17.06.2021 року працівники Івано-Франківського національного університету нафти і газу розпочали вишукувальні польові роботи. </w:t>
      </w:r>
    </w:p>
    <w:p w:rsidR="000F7221" w:rsidRPr="00B808A6" w:rsidRDefault="000F7221" w:rsidP="000F7221">
      <w:pPr>
        <w:ind w:firstLine="708"/>
        <w:jc w:val="both"/>
        <w:rPr>
          <w:rFonts w:ascii="Times New Roman" w:hAnsi="Times New Roman" w:cs="Times New Roman"/>
          <w:sz w:val="28"/>
          <w:szCs w:val="28"/>
        </w:rPr>
      </w:pPr>
      <w:r w:rsidRPr="00B808A6">
        <w:rPr>
          <w:rFonts w:ascii="Times New Roman" w:hAnsi="Times New Roman" w:cs="Times New Roman"/>
          <w:sz w:val="28"/>
          <w:szCs w:val="28"/>
        </w:rPr>
        <w:t>Протягом 6 місяців 2021 року пров</w:t>
      </w:r>
      <w:r w:rsidR="000D0040">
        <w:rPr>
          <w:rFonts w:ascii="Times New Roman" w:hAnsi="Times New Roman" w:cs="Times New Roman"/>
          <w:sz w:val="28"/>
          <w:szCs w:val="28"/>
        </w:rPr>
        <w:t>одились</w:t>
      </w:r>
      <w:r w:rsidRPr="00B808A6">
        <w:rPr>
          <w:rFonts w:ascii="Times New Roman" w:hAnsi="Times New Roman" w:cs="Times New Roman"/>
          <w:sz w:val="28"/>
          <w:szCs w:val="28"/>
        </w:rPr>
        <w:t xml:space="preserve"> топогеодезичні роботи, геофізичні дослідження методом природного імпульсного електромагнітного поля Землі по реперних профілях рудників «Ново-Голинь», «Калуш», здійснено відбір проб води із спостережних свердловин та об’єктів Калуського гірничопромислового району та проведено лабораторні дослідження.</w:t>
      </w:r>
    </w:p>
    <w:p w:rsidR="00532C86" w:rsidRPr="00B40503" w:rsidRDefault="000C0F5D" w:rsidP="00532C86">
      <w:pPr>
        <w:ind w:firstLine="708"/>
        <w:jc w:val="both"/>
        <w:rPr>
          <w:rFonts w:ascii="Times New Roman" w:hAnsi="Times New Roman" w:cs="Times New Roman"/>
          <w:sz w:val="28"/>
          <w:szCs w:val="28"/>
        </w:rPr>
      </w:pPr>
      <w:r w:rsidRPr="00B808A6">
        <w:rPr>
          <w:rFonts w:ascii="Times New Roman" w:hAnsi="Times New Roman" w:cs="Times New Roman"/>
          <w:bCs/>
          <w:sz w:val="28"/>
          <w:szCs w:val="28"/>
        </w:rPr>
        <w:t>Метою робіт</w:t>
      </w:r>
      <w:r w:rsidRPr="00B808A6">
        <w:rPr>
          <w:rFonts w:ascii="Times New Roman" w:hAnsi="Times New Roman" w:cs="Times New Roman"/>
          <w:b/>
          <w:bCs/>
          <w:sz w:val="28"/>
          <w:szCs w:val="28"/>
        </w:rPr>
        <w:t xml:space="preserve"> </w:t>
      </w:r>
      <w:r w:rsidR="00B04C83" w:rsidRPr="00B808A6">
        <w:rPr>
          <w:rFonts w:ascii="Times New Roman" w:hAnsi="Times New Roman" w:cs="Times New Roman"/>
          <w:sz w:val="28"/>
          <w:szCs w:val="28"/>
        </w:rPr>
        <w:t>було</w:t>
      </w:r>
      <w:r w:rsidRPr="00B808A6">
        <w:rPr>
          <w:rFonts w:ascii="Times New Roman" w:hAnsi="Times New Roman" w:cs="Times New Roman"/>
          <w:sz w:val="28"/>
          <w:szCs w:val="28"/>
        </w:rPr>
        <w:t xml:space="preserve"> проведення екологічного моніторингу впливу гірничих виробіток та засолення на територію населених пунктів та водоносний горизонт, розробка рекомендацій щодо запобігання виникнення надзвичайної ситуації та надання висновків щодо загрози для житлових будинків, які розташовані у небезпечній зоні</w:t>
      </w:r>
      <w:r w:rsidR="00B40503">
        <w:rPr>
          <w:rFonts w:ascii="Times New Roman" w:hAnsi="Times New Roman" w:cs="Times New Roman"/>
          <w:sz w:val="28"/>
          <w:szCs w:val="28"/>
        </w:rPr>
        <w:t>.</w:t>
      </w:r>
      <w:r w:rsidR="00B40503" w:rsidRPr="00B40503">
        <w:rPr>
          <w:rFonts w:ascii="Times New Roman" w:hAnsi="Times New Roman" w:cs="Times New Roman"/>
          <w:b/>
          <w:sz w:val="28"/>
          <w:szCs w:val="28"/>
        </w:rPr>
        <w:t xml:space="preserve"> </w:t>
      </w:r>
      <w:r w:rsidR="00B40503" w:rsidRPr="00B40503">
        <w:rPr>
          <w:rFonts w:ascii="Times New Roman" w:hAnsi="Times New Roman" w:cs="Times New Roman"/>
          <w:sz w:val="28"/>
          <w:szCs w:val="28"/>
        </w:rPr>
        <w:t>Оцінка стану спостережних гідрогеологічних свердловин, відбір проб води, лабораторні гідрогеохімічні аналізи в межах території Калуського гірничопромислового району.</w:t>
      </w:r>
      <w:r w:rsidR="00532C86" w:rsidRPr="00532C86">
        <w:rPr>
          <w:rFonts w:ascii="Times New Roman" w:hAnsi="Times New Roman" w:cs="Times New Roman"/>
          <w:sz w:val="28"/>
          <w:szCs w:val="28"/>
        </w:rPr>
        <w:t xml:space="preserve"> </w:t>
      </w:r>
      <w:r w:rsidR="00532C86" w:rsidRPr="00B40503">
        <w:rPr>
          <w:rFonts w:ascii="Times New Roman" w:hAnsi="Times New Roman" w:cs="Times New Roman"/>
          <w:sz w:val="28"/>
          <w:szCs w:val="28"/>
        </w:rPr>
        <w:t>Побудовано карти просідань</w:t>
      </w:r>
      <w:r w:rsidR="00532C86">
        <w:rPr>
          <w:rFonts w:ascii="Times New Roman" w:hAnsi="Times New Roman" w:cs="Times New Roman"/>
          <w:sz w:val="28"/>
          <w:szCs w:val="28"/>
        </w:rPr>
        <w:t xml:space="preserve"> земної поверхні та їх динаміки, </w:t>
      </w:r>
      <w:r w:rsidR="00532C86" w:rsidRPr="00B40503">
        <w:rPr>
          <w:rFonts w:ascii="Times New Roman" w:hAnsi="Times New Roman" w:cs="Times New Roman"/>
          <w:sz w:val="28"/>
          <w:szCs w:val="28"/>
        </w:rPr>
        <w:t>карт</w:t>
      </w:r>
      <w:r w:rsidR="00532C86">
        <w:rPr>
          <w:rFonts w:ascii="Times New Roman" w:hAnsi="Times New Roman" w:cs="Times New Roman"/>
          <w:sz w:val="28"/>
          <w:szCs w:val="28"/>
        </w:rPr>
        <w:t>и</w:t>
      </w:r>
      <w:r w:rsidR="00532C86" w:rsidRPr="00B40503">
        <w:rPr>
          <w:rFonts w:ascii="Times New Roman" w:hAnsi="Times New Roman" w:cs="Times New Roman"/>
          <w:sz w:val="28"/>
          <w:szCs w:val="28"/>
        </w:rPr>
        <w:t xml:space="preserve"> засолення Калуського гірничопромислового району та карт</w:t>
      </w:r>
      <w:r w:rsidR="00532C86">
        <w:rPr>
          <w:rFonts w:ascii="Times New Roman" w:hAnsi="Times New Roman" w:cs="Times New Roman"/>
          <w:sz w:val="28"/>
          <w:szCs w:val="28"/>
        </w:rPr>
        <w:t>и</w:t>
      </w:r>
      <w:r w:rsidR="00532C86" w:rsidRPr="00B40503">
        <w:rPr>
          <w:rFonts w:ascii="Times New Roman" w:hAnsi="Times New Roman" w:cs="Times New Roman"/>
          <w:sz w:val="28"/>
          <w:szCs w:val="28"/>
        </w:rPr>
        <w:t xml:space="preserve"> динаміки засолення водоносного горизонту в часі. Надано рекомендації щодо прийняття управлінських рішень з метою попередження надзвичайних ситуацій техногенного характеру на підставі проведених топогеодезичних, геофізичних та гідрогеохімічних досліджень</w:t>
      </w:r>
      <w:r w:rsidR="00532C86">
        <w:rPr>
          <w:rFonts w:ascii="Times New Roman" w:hAnsi="Times New Roman" w:cs="Times New Roman"/>
          <w:sz w:val="28"/>
          <w:szCs w:val="28"/>
        </w:rPr>
        <w:t>.</w:t>
      </w:r>
    </w:p>
    <w:p w:rsidR="00964111" w:rsidRPr="00B808A6" w:rsidRDefault="00B04C83" w:rsidP="00BD383E">
      <w:pPr>
        <w:ind w:firstLine="708"/>
        <w:jc w:val="both"/>
        <w:rPr>
          <w:rFonts w:ascii="Times New Roman" w:hAnsi="Times New Roman" w:cs="Times New Roman"/>
          <w:sz w:val="28"/>
          <w:szCs w:val="28"/>
        </w:rPr>
      </w:pPr>
      <w:r w:rsidRPr="00B808A6">
        <w:rPr>
          <w:rFonts w:ascii="Times New Roman" w:hAnsi="Times New Roman" w:cs="Times New Roman"/>
          <w:sz w:val="28"/>
          <w:szCs w:val="28"/>
        </w:rPr>
        <w:t xml:space="preserve">Спостереження </w:t>
      </w:r>
      <w:r w:rsidR="00BD383E" w:rsidRPr="00B808A6">
        <w:rPr>
          <w:rFonts w:ascii="Times New Roman" w:hAnsi="Times New Roman" w:cs="Times New Roman"/>
          <w:sz w:val="28"/>
          <w:szCs w:val="28"/>
        </w:rPr>
        <w:t xml:space="preserve">за комплексом топогеодезичних та геофізичних методів </w:t>
      </w:r>
      <w:r w:rsidRPr="00B808A6">
        <w:rPr>
          <w:rFonts w:ascii="Times New Roman" w:hAnsi="Times New Roman" w:cs="Times New Roman"/>
          <w:sz w:val="28"/>
          <w:szCs w:val="28"/>
        </w:rPr>
        <w:t>щодо просідання земної поверхні проводились в селах Кропивник, Сівка-Калуська та на вул. Європейська м. Калуша.</w:t>
      </w:r>
    </w:p>
    <w:p w:rsidR="005C1B11" w:rsidRPr="005C1B11" w:rsidRDefault="00B808A6" w:rsidP="005C1B11">
      <w:pPr>
        <w:ind w:firstLine="708"/>
        <w:jc w:val="both"/>
        <w:rPr>
          <w:rFonts w:ascii="Times New Roman" w:hAnsi="Times New Roman" w:cs="Times New Roman"/>
          <w:sz w:val="28"/>
          <w:szCs w:val="28"/>
        </w:rPr>
      </w:pPr>
      <w:r w:rsidRPr="00B40503">
        <w:rPr>
          <w:rFonts w:ascii="Times New Roman" w:hAnsi="Times New Roman" w:cs="Times New Roman"/>
          <w:sz w:val="28"/>
          <w:szCs w:val="28"/>
        </w:rPr>
        <w:t>Додатково було проведено обстеження житлових будинків в с. Кропивник вул. І.Франка,144, 202 відповідно до звернень громадян для прогнозування пр</w:t>
      </w:r>
      <w:r w:rsidR="00B40503" w:rsidRPr="00B40503">
        <w:rPr>
          <w:rFonts w:ascii="Times New Roman" w:hAnsi="Times New Roman" w:cs="Times New Roman"/>
          <w:sz w:val="28"/>
          <w:szCs w:val="28"/>
        </w:rPr>
        <w:t>оцесів просідання в майбутньому.</w:t>
      </w:r>
      <w:r w:rsidR="00F12521">
        <w:rPr>
          <w:rFonts w:ascii="Times New Roman" w:hAnsi="Times New Roman" w:cs="Times New Roman"/>
          <w:sz w:val="28"/>
          <w:szCs w:val="28"/>
        </w:rPr>
        <w:t xml:space="preserve"> Було проведено першу серію спостережень, але для того щоб надати рекомендації з відселення, потрібно провести ще мінімум дві серії спостережень. </w:t>
      </w:r>
      <w:r w:rsidR="005C1B11" w:rsidRPr="005C1B11">
        <w:rPr>
          <w:rFonts w:ascii="Times New Roman" w:hAnsi="Times New Roman" w:cs="Times New Roman"/>
          <w:sz w:val="28"/>
          <w:szCs w:val="28"/>
        </w:rPr>
        <w:t>Тільки це дозволить вирахувати , і то прогнозні, значення кривизни і раді</w:t>
      </w:r>
      <w:r w:rsidR="005C1B11">
        <w:rPr>
          <w:rFonts w:ascii="Times New Roman" w:hAnsi="Times New Roman" w:cs="Times New Roman"/>
          <w:sz w:val="28"/>
          <w:szCs w:val="28"/>
        </w:rPr>
        <w:t>уса кривизни, нахилу фундаменту</w:t>
      </w:r>
      <w:r w:rsidR="005C1B11" w:rsidRPr="005C1B11">
        <w:rPr>
          <w:rFonts w:ascii="Times New Roman" w:hAnsi="Times New Roman" w:cs="Times New Roman"/>
          <w:sz w:val="28"/>
          <w:szCs w:val="28"/>
        </w:rPr>
        <w:t xml:space="preserve"> та порівнявши їх з допустимими дати обґрунтовані рекомендації для комісії.</w:t>
      </w:r>
    </w:p>
    <w:p w:rsidR="00532C86" w:rsidRDefault="00532C86" w:rsidP="00532C86">
      <w:pPr>
        <w:ind w:firstLine="708"/>
        <w:jc w:val="both"/>
        <w:rPr>
          <w:rFonts w:ascii="Times New Roman" w:hAnsi="Times New Roman" w:cs="Times New Roman"/>
          <w:sz w:val="28"/>
          <w:szCs w:val="28"/>
        </w:rPr>
      </w:pPr>
      <w:r w:rsidRPr="00532C86">
        <w:rPr>
          <w:rFonts w:ascii="Times New Roman" w:hAnsi="Times New Roman" w:cs="Times New Roman"/>
          <w:sz w:val="28"/>
          <w:szCs w:val="28"/>
        </w:rPr>
        <w:t xml:space="preserve">Подібна ситуація і з прогнозом осідань шахтного поля рудника «Ново-Голинь», де систематичні спостереження закінчились в 2001 році. Проведення ще хоча б двох з інтервалом пів року дозволить спрогнозувати </w:t>
      </w:r>
      <w:r w:rsidRPr="00532C86">
        <w:rPr>
          <w:rFonts w:ascii="Times New Roman" w:hAnsi="Times New Roman" w:cs="Times New Roman"/>
          <w:sz w:val="28"/>
          <w:szCs w:val="28"/>
        </w:rPr>
        <w:lastRenderedPageBreak/>
        <w:t>швидкості осідань. Напрямок руху мульд і відповідно оцінити небезпечність процесів просідання поверхні.</w:t>
      </w:r>
    </w:p>
    <w:p w:rsidR="00532C86" w:rsidRDefault="00532C86" w:rsidP="00532C86">
      <w:pPr>
        <w:ind w:firstLine="708"/>
        <w:jc w:val="both"/>
        <w:rPr>
          <w:rFonts w:ascii="Times New Roman" w:hAnsi="Times New Roman" w:cs="Times New Roman"/>
          <w:sz w:val="28"/>
          <w:szCs w:val="28"/>
        </w:rPr>
      </w:pPr>
      <w:r>
        <w:rPr>
          <w:rFonts w:ascii="Times New Roman" w:hAnsi="Times New Roman" w:cs="Times New Roman"/>
          <w:sz w:val="28"/>
          <w:szCs w:val="28"/>
        </w:rPr>
        <w:t xml:space="preserve">Всі житлові будинки на досліджуваній території сіл Сівка-Калуська та Кропивник, які розташовані всередині гірничих відводів рудника «Ново-Голинь», навіть </w:t>
      </w:r>
      <w:r w:rsidR="000554EC">
        <w:rPr>
          <w:rFonts w:ascii="Times New Roman" w:hAnsi="Times New Roman" w:cs="Times New Roman"/>
          <w:sz w:val="28"/>
          <w:szCs w:val="28"/>
        </w:rPr>
        <w:t>поза виявленою інструментальними спостереженнями мульдою осідання, знаходяться в небезпечних зонах.</w:t>
      </w:r>
    </w:p>
    <w:p w:rsidR="009D366E" w:rsidRDefault="000554EC" w:rsidP="00532C86">
      <w:pPr>
        <w:ind w:firstLine="708"/>
        <w:jc w:val="both"/>
        <w:rPr>
          <w:rFonts w:ascii="Times New Roman" w:hAnsi="Times New Roman" w:cs="Times New Roman"/>
          <w:sz w:val="28"/>
          <w:szCs w:val="28"/>
        </w:rPr>
      </w:pPr>
      <w:r>
        <w:rPr>
          <w:rFonts w:ascii="Times New Roman" w:hAnsi="Times New Roman" w:cs="Times New Roman"/>
          <w:sz w:val="28"/>
          <w:szCs w:val="28"/>
        </w:rPr>
        <w:t>Згідно з Постановою КМУ від 17.01.1995 №33 «Про затвердження Положення про порядок забудови площ залягання корисних копалин загальнодержавного значення» будівництво в межах гірничого відводу об’єктів не пов’язаних з гірничими роботами, не допускається.</w:t>
      </w:r>
    </w:p>
    <w:p w:rsidR="009A53EA" w:rsidRDefault="009A53EA" w:rsidP="00532C86">
      <w:pPr>
        <w:ind w:firstLine="708"/>
        <w:jc w:val="both"/>
        <w:rPr>
          <w:rFonts w:ascii="Times New Roman" w:hAnsi="Times New Roman" w:cs="Times New Roman"/>
          <w:sz w:val="28"/>
          <w:szCs w:val="28"/>
        </w:rPr>
      </w:pPr>
      <w:r>
        <w:rPr>
          <w:rFonts w:ascii="Times New Roman" w:hAnsi="Times New Roman" w:cs="Times New Roman"/>
          <w:sz w:val="28"/>
          <w:szCs w:val="28"/>
        </w:rPr>
        <w:t>Таким чином, щоб не порушувати законодавство, можливі два варіанти</w:t>
      </w:r>
      <w:r w:rsidR="003D1AE7">
        <w:rPr>
          <w:rFonts w:ascii="Times New Roman" w:hAnsi="Times New Roman" w:cs="Times New Roman"/>
          <w:sz w:val="28"/>
          <w:szCs w:val="28"/>
        </w:rPr>
        <w:t>.</w:t>
      </w:r>
    </w:p>
    <w:p w:rsidR="003D1AE7" w:rsidRDefault="003D1AE7" w:rsidP="00532C86">
      <w:pPr>
        <w:ind w:firstLine="708"/>
        <w:jc w:val="both"/>
        <w:rPr>
          <w:rFonts w:ascii="Times New Roman" w:hAnsi="Times New Roman" w:cs="Times New Roman"/>
          <w:sz w:val="28"/>
          <w:szCs w:val="28"/>
        </w:rPr>
      </w:pPr>
      <w:r>
        <w:rPr>
          <w:rFonts w:ascii="Times New Roman" w:hAnsi="Times New Roman" w:cs="Times New Roman"/>
          <w:sz w:val="28"/>
          <w:szCs w:val="28"/>
        </w:rPr>
        <w:t xml:space="preserve">Перший – відселити </w:t>
      </w:r>
      <w:r w:rsidR="005E3E47">
        <w:rPr>
          <w:rFonts w:ascii="Times New Roman" w:hAnsi="Times New Roman" w:cs="Times New Roman"/>
          <w:sz w:val="28"/>
          <w:szCs w:val="28"/>
        </w:rPr>
        <w:t>населення з будинків, розміщених в зоні впливу гірничих робіт. Першочергово, в границях виявлення і інструментально підтверджених мульд осі</w:t>
      </w:r>
      <w:r w:rsidR="003156CE">
        <w:rPr>
          <w:rFonts w:ascii="Times New Roman" w:hAnsi="Times New Roman" w:cs="Times New Roman"/>
          <w:sz w:val="28"/>
          <w:szCs w:val="28"/>
        </w:rPr>
        <w:t>дання, На території шахтного по</w:t>
      </w:r>
      <w:r w:rsidR="005E3E47">
        <w:rPr>
          <w:rFonts w:ascii="Times New Roman" w:hAnsi="Times New Roman" w:cs="Times New Roman"/>
          <w:sz w:val="28"/>
          <w:szCs w:val="28"/>
        </w:rPr>
        <w:t>л</w:t>
      </w:r>
      <w:r w:rsidR="003156CE">
        <w:rPr>
          <w:rFonts w:ascii="Times New Roman" w:hAnsi="Times New Roman" w:cs="Times New Roman"/>
          <w:sz w:val="28"/>
          <w:szCs w:val="28"/>
        </w:rPr>
        <w:t>я</w:t>
      </w:r>
      <w:r w:rsidR="005E3E47">
        <w:rPr>
          <w:rFonts w:ascii="Times New Roman" w:hAnsi="Times New Roman" w:cs="Times New Roman"/>
          <w:sz w:val="28"/>
          <w:szCs w:val="28"/>
        </w:rPr>
        <w:t xml:space="preserve"> рудника «Ново-Голинь», </w:t>
      </w:r>
      <w:r w:rsidR="003156CE">
        <w:rPr>
          <w:rFonts w:ascii="Times New Roman" w:hAnsi="Times New Roman" w:cs="Times New Roman"/>
          <w:sz w:val="28"/>
          <w:szCs w:val="28"/>
        </w:rPr>
        <w:t>тільки там, де вже виявлені осідання до 200 мм з початку підроблення території, це 70 будівель.</w:t>
      </w:r>
    </w:p>
    <w:p w:rsidR="005E3E47" w:rsidRDefault="003156CE" w:rsidP="00532C86">
      <w:pPr>
        <w:ind w:firstLine="708"/>
        <w:jc w:val="both"/>
        <w:rPr>
          <w:rFonts w:ascii="Times New Roman" w:hAnsi="Times New Roman" w:cs="Times New Roman"/>
          <w:sz w:val="28"/>
          <w:szCs w:val="28"/>
        </w:rPr>
      </w:pPr>
      <w:r>
        <w:rPr>
          <w:rFonts w:ascii="Times New Roman" w:hAnsi="Times New Roman" w:cs="Times New Roman"/>
          <w:sz w:val="28"/>
          <w:szCs w:val="28"/>
        </w:rPr>
        <w:t>Другий – систематично (мінімум раз в рік) вести спостереження за просіданням поверхні за методикою</w:t>
      </w:r>
      <w:r w:rsidR="00217BD8">
        <w:rPr>
          <w:rFonts w:ascii="Times New Roman" w:hAnsi="Times New Roman" w:cs="Times New Roman"/>
          <w:sz w:val="28"/>
          <w:szCs w:val="28"/>
        </w:rPr>
        <w:t>, я</w:t>
      </w:r>
      <w:r>
        <w:rPr>
          <w:rFonts w:ascii="Times New Roman" w:hAnsi="Times New Roman" w:cs="Times New Roman"/>
          <w:sz w:val="28"/>
          <w:szCs w:val="28"/>
        </w:rPr>
        <w:t xml:space="preserve">ка регламентується </w:t>
      </w:r>
      <w:r w:rsidR="00217BD8">
        <w:rPr>
          <w:rFonts w:ascii="Times New Roman" w:hAnsi="Times New Roman" w:cs="Times New Roman"/>
          <w:sz w:val="28"/>
          <w:szCs w:val="28"/>
        </w:rPr>
        <w:t xml:space="preserve">«Інструкцією» до повної стабілізації процесів і приймати рішення </w:t>
      </w:r>
      <w:r w:rsidR="0010499F">
        <w:rPr>
          <w:rFonts w:ascii="Times New Roman" w:hAnsi="Times New Roman" w:cs="Times New Roman"/>
          <w:sz w:val="28"/>
          <w:szCs w:val="28"/>
        </w:rPr>
        <w:t xml:space="preserve">про відселення за об’єктивними даними спостережень. Для цього потрібне постійне фінансування </w:t>
      </w:r>
      <w:r w:rsidR="00D64AED">
        <w:rPr>
          <w:rFonts w:ascii="Times New Roman" w:hAnsi="Times New Roman" w:cs="Times New Roman"/>
          <w:sz w:val="28"/>
          <w:szCs w:val="28"/>
        </w:rPr>
        <w:t>геодезичної групи, мінімум з трьох співробітників один з яких висококваліфікований фахівець – геодезист або маркшейдер.</w:t>
      </w:r>
    </w:p>
    <w:p w:rsidR="00CC59FA" w:rsidRDefault="00AD3A0D" w:rsidP="00532C86">
      <w:pPr>
        <w:ind w:firstLine="708"/>
        <w:jc w:val="both"/>
        <w:rPr>
          <w:rFonts w:ascii="Times New Roman" w:hAnsi="Times New Roman" w:cs="Times New Roman"/>
          <w:sz w:val="28"/>
          <w:szCs w:val="28"/>
        </w:rPr>
      </w:pPr>
      <w:r>
        <w:rPr>
          <w:rFonts w:ascii="Times New Roman" w:hAnsi="Times New Roman" w:cs="Times New Roman"/>
          <w:sz w:val="28"/>
          <w:szCs w:val="28"/>
        </w:rPr>
        <w:t>В</w:t>
      </w:r>
      <w:r w:rsidR="00CC59FA">
        <w:rPr>
          <w:rFonts w:ascii="Times New Roman" w:hAnsi="Times New Roman" w:cs="Times New Roman"/>
          <w:sz w:val="28"/>
          <w:szCs w:val="28"/>
        </w:rPr>
        <w:t>и</w:t>
      </w:r>
      <w:r>
        <w:rPr>
          <w:rFonts w:ascii="Times New Roman" w:hAnsi="Times New Roman" w:cs="Times New Roman"/>
          <w:sz w:val="28"/>
          <w:szCs w:val="28"/>
        </w:rPr>
        <w:t>сно</w:t>
      </w:r>
      <w:r w:rsidR="00CC59FA">
        <w:rPr>
          <w:rFonts w:ascii="Times New Roman" w:hAnsi="Times New Roman" w:cs="Times New Roman"/>
          <w:sz w:val="28"/>
          <w:szCs w:val="28"/>
        </w:rPr>
        <w:t>вки щодо проведених геофізичних досліджень</w:t>
      </w:r>
      <w:r w:rsidR="00672009">
        <w:rPr>
          <w:rFonts w:ascii="Times New Roman" w:hAnsi="Times New Roman" w:cs="Times New Roman"/>
          <w:sz w:val="28"/>
          <w:szCs w:val="28"/>
        </w:rPr>
        <w:t>:</w:t>
      </w:r>
      <w:r w:rsidR="00CC59FA">
        <w:rPr>
          <w:rFonts w:ascii="Times New Roman" w:hAnsi="Times New Roman" w:cs="Times New Roman"/>
          <w:sz w:val="28"/>
          <w:szCs w:val="28"/>
        </w:rPr>
        <w:t xml:space="preserve"> </w:t>
      </w:r>
    </w:p>
    <w:p w:rsidR="00D64AED" w:rsidRPr="00D64AED" w:rsidRDefault="00D64AED" w:rsidP="00D64AED">
      <w:pPr>
        <w:ind w:firstLine="708"/>
        <w:jc w:val="both"/>
        <w:rPr>
          <w:rFonts w:ascii="Times New Roman" w:hAnsi="Times New Roman" w:cs="Times New Roman"/>
          <w:sz w:val="28"/>
          <w:szCs w:val="28"/>
        </w:rPr>
      </w:pPr>
      <w:r w:rsidRPr="00D64AED">
        <w:rPr>
          <w:rFonts w:ascii="Times New Roman" w:hAnsi="Times New Roman" w:cs="Times New Roman"/>
          <w:bCs/>
          <w:sz w:val="28"/>
          <w:szCs w:val="28"/>
        </w:rPr>
        <w:t>1.Дослідження виконано на руднику «Ново-Голинь» (c. Кропивник, с. Сівка-Калуська) та «Калуш» (м. Калуш, вул. Європейська) методом природного імпульсного електромагнітного поля Землі. Загальна кількість спостережень склала 980 замі</w:t>
      </w:r>
      <w:r w:rsidR="00672009">
        <w:rPr>
          <w:rFonts w:ascii="Times New Roman" w:hAnsi="Times New Roman" w:cs="Times New Roman"/>
          <w:bCs/>
          <w:sz w:val="28"/>
          <w:szCs w:val="28"/>
        </w:rPr>
        <w:t>рів: м. Калуш, вул. Європейська</w:t>
      </w:r>
      <w:r w:rsidRPr="00D64AED">
        <w:rPr>
          <w:rFonts w:ascii="Times New Roman" w:hAnsi="Times New Roman" w:cs="Times New Roman"/>
          <w:bCs/>
          <w:sz w:val="28"/>
          <w:szCs w:val="28"/>
        </w:rPr>
        <w:t xml:space="preserve"> - 88 ф.т; рудник «Нова-Голинь», </w:t>
      </w:r>
      <w:r w:rsidR="00672009">
        <w:rPr>
          <w:rFonts w:ascii="Times New Roman" w:hAnsi="Times New Roman" w:cs="Times New Roman"/>
          <w:bCs/>
          <w:sz w:val="28"/>
          <w:szCs w:val="28"/>
        </w:rPr>
        <w:t xml:space="preserve"> </w:t>
      </w:r>
      <w:r w:rsidRPr="00D64AED">
        <w:rPr>
          <w:rFonts w:ascii="Times New Roman" w:hAnsi="Times New Roman" w:cs="Times New Roman"/>
          <w:bCs/>
          <w:sz w:val="28"/>
          <w:szCs w:val="28"/>
        </w:rPr>
        <w:t xml:space="preserve">с. Кропивник – 589 ф.т; рудник «Нова-Голинь», с. Сівка-Калуська – 303 ф.т. </w:t>
      </w:r>
    </w:p>
    <w:p w:rsidR="00D64AED" w:rsidRPr="00D64AED" w:rsidRDefault="00D64AED" w:rsidP="00D64AED">
      <w:pPr>
        <w:ind w:firstLine="708"/>
        <w:jc w:val="both"/>
        <w:rPr>
          <w:rFonts w:ascii="Times New Roman" w:hAnsi="Times New Roman" w:cs="Times New Roman"/>
          <w:sz w:val="28"/>
          <w:szCs w:val="28"/>
        </w:rPr>
      </w:pPr>
      <w:r w:rsidRPr="00D64AED">
        <w:rPr>
          <w:rFonts w:ascii="Times New Roman" w:hAnsi="Times New Roman" w:cs="Times New Roman"/>
          <w:bCs/>
          <w:sz w:val="28"/>
          <w:szCs w:val="28"/>
          <w:lang w:val="ru-RU"/>
        </w:rPr>
        <w:t xml:space="preserve">2. За результатами досліджень закартовано зони ослаблення гірничого масиву, які відображені в полі ПІЕМПЗ пониженими значеннями. Встановлено, що ці зони корелюють із осіданнями земної поверхні, які зафіксовані геодезичними спостереженнями. </w:t>
      </w:r>
    </w:p>
    <w:p w:rsidR="00D64AED" w:rsidRPr="00D64AED" w:rsidRDefault="00D64AED" w:rsidP="00D64AED">
      <w:pPr>
        <w:ind w:firstLine="708"/>
        <w:jc w:val="both"/>
        <w:rPr>
          <w:rFonts w:ascii="Times New Roman" w:hAnsi="Times New Roman" w:cs="Times New Roman"/>
          <w:sz w:val="28"/>
          <w:szCs w:val="28"/>
        </w:rPr>
      </w:pPr>
      <w:r w:rsidRPr="00D64AED">
        <w:rPr>
          <w:rFonts w:ascii="Times New Roman" w:hAnsi="Times New Roman" w:cs="Times New Roman"/>
          <w:bCs/>
          <w:sz w:val="28"/>
          <w:szCs w:val="28"/>
          <w:lang w:val="ru-RU"/>
        </w:rPr>
        <w:t xml:space="preserve">3. За геофізичними спостереженнями встановлено, що на руднику Ново-Голинь с. Кропивник проходить активна стадія осідання, а в с. Сівка-Калуська відпрацьований гірничий масив знаходиться у початковій стадії осідання земної поверхні. </w:t>
      </w:r>
    </w:p>
    <w:p w:rsidR="00D64AED" w:rsidRPr="00D64AED" w:rsidRDefault="00D64AED" w:rsidP="00D64AED">
      <w:pPr>
        <w:ind w:firstLine="708"/>
        <w:jc w:val="both"/>
        <w:rPr>
          <w:rFonts w:ascii="Times New Roman" w:hAnsi="Times New Roman" w:cs="Times New Roman"/>
          <w:sz w:val="28"/>
          <w:szCs w:val="28"/>
        </w:rPr>
      </w:pPr>
      <w:r w:rsidRPr="00D64AED">
        <w:rPr>
          <w:rFonts w:ascii="Times New Roman" w:hAnsi="Times New Roman" w:cs="Times New Roman"/>
          <w:bCs/>
          <w:sz w:val="28"/>
          <w:szCs w:val="28"/>
          <w:lang w:val="ru-RU"/>
        </w:rPr>
        <w:t xml:space="preserve">4. Побудовано прогнозні моделі </w:t>
      </w:r>
      <w:r w:rsidRPr="00D64AED">
        <w:rPr>
          <w:rFonts w:ascii="Times New Roman" w:hAnsi="Times New Roman" w:cs="Times New Roman"/>
          <w:bCs/>
          <w:sz w:val="28"/>
          <w:szCs w:val="28"/>
        </w:rPr>
        <w:t xml:space="preserve">зон осідання </w:t>
      </w:r>
      <w:r w:rsidRPr="00D64AED">
        <w:rPr>
          <w:rFonts w:ascii="Times New Roman" w:hAnsi="Times New Roman" w:cs="Times New Roman"/>
          <w:bCs/>
          <w:sz w:val="28"/>
          <w:szCs w:val="28"/>
          <w:lang w:val="ru-RU"/>
        </w:rPr>
        <w:t>на час спостережень по ділянках досліджень.</w:t>
      </w:r>
    </w:p>
    <w:p w:rsidR="00D64AED" w:rsidRPr="00D64AED" w:rsidRDefault="00D64AED" w:rsidP="00D64AED">
      <w:pPr>
        <w:ind w:firstLine="708"/>
        <w:jc w:val="both"/>
        <w:rPr>
          <w:rFonts w:ascii="Times New Roman" w:hAnsi="Times New Roman" w:cs="Times New Roman"/>
          <w:sz w:val="28"/>
          <w:szCs w:val="28"/>
        </w:rPr>
      </w:pPr>
      <w:r w:rsidRPr="00D64AED">
        <w:rPr>
          <w:rFonts w:ascii="Times New Roman" w:hAnsi="Times New Roman" w:cs="Times New Roman"/>
          <w:bCs/>
          <w:sz w:val="28"/>
          <w:szCs w:val="28"/>
        </w:rPr>
        <w:t xml:space="preserve">5. Слід зазначити, що різниця в останніх вимірах складає 2021-2013 рік, тобто 8 років. </w:t>
      </w:r>
      <w:r w:rsidRPr="00D64AED">
        <w:rPr>
          <w:rFonts w:ascii="Times New Roman" w:hAnsi="Times New Roman" w:cs="Times New Roman"/>
          <w:bCs/>
          <w:sz w:val="28"/>
          <w:szCs w:val="28"/>
          <w:lang w:val="ru-RU"/>
        </w:rPr>
        <w:t>Коли сталась активізація, визначити неможливо. Необхідно виконати принаймні одну серію спостережень у 2022 або 2023 році для отримання відповіді на поставлене питання.</w:t>
      </w:r>
      <w:r w:rsidRPr="00D64AED">
        <w:rPr>
          <w:rFonts w:ascii="Times New Roman" w:hAnsi="Times New Roman" w:cs="Times New Roman"/>
          <w:bCs/>
          <w:sz w:val="28"/>
          <w:szCs w:val="28"/>
        </w:rPr>
        <w:t xml:space="preserve"> </w:t>
      </w:r>
    </w:p>
    <w:p w:rsidR="00532C86" w:rsidRDefault="00532C86" w:rsidP="009A53EA">
      <w:pPr>
        <w:ind w:firstLine="708"/>
        <w:jc w:val="both"/>
        <w:rPr>
          <w:rFonts w:ascii="Times New Roman" w:hAnsi="Times New Roman" w:cs="Times New Roman"/>
          <w:sz w:val="28"/>
          <w:szCs w:val="28"/>
        </w:rPr>
      </w:pPr>
    </w:p>
    <w:p w:rsidR="00A106E8" w:rsidRDefault="00A106E8" w:rsidP="00AD3A0D">
      <w:pPr>
        <w:jc w:val="both"/>
        <w:rPr>
          <w:rFonts w:ascii="Times New Roman" w:hAnsi="Times New Roman" w:cs="Times New Roman"/>
          <w:sz w:val="28"/>
          <w:szCs w:val="28"/>
        </w:rPr>
      </w:pPr>
    </w:p>
    <w:p w:rsidR="00A106E8" w:rsidRDefault="00A106E8" w:rsidP="009A53EA">
      <w:pPr>
        <w:ind w:firstLine="708"/>
        <w:jc w:val="both"/>
        <w:rPr>
          <w:rFonts w:ascii="Times New Roman" w:hAnsi="Times New Roman" w:cs="Times New Roman"/>
          <w:sz w:val="28"/>
          <w:szCs w:val="28"/>
        </w:rPr>
      </w:pPr>
    </w:p>
    <w:p w:rsidR="00A106E8" w:rsidRDefault="00A106E8" w:rsidP="009A53EA">
      <w:pPr>
        <w:ind w:firstLine="708"/>
        <w:jc w:val="both"/>
        <w:rPr>
          <w:rFonts w:ascii="Times New Roman" w:hAnsi="Times New Roman" w:cs="Times New Roman"/>
          <w:sz w:val="28"/>
          <w:szCs w:val="28"/>
        </w:rPr>
      </w:pPr>
    </w:p>
    <w:p w:rsidR="00A106E8" w:rsidRDefault="00A106E8" w:rsidP="009A53EA">
      <w:pPr>
        <w:ind w:firstLine="708"/>
        <w:jc w:val="both"/>
        <w:rPr>
          <w:rFonts w:ascii="Times New Roman" w:hAnsi="Times New Roman" w:cs="Times New Roman"/>
          <w:sz w:val="28"/>
          <w:szCs w:val="28"/>
        </w:rPr>
      </w:pPr>
    </w:p>
    <w:p w:rsidR="00A106E8" w:rsidRPr="00D64AED" w:rsidRDefault="00A106E8" w:rsidP="009A53EA">
      <w:pPr>
        <w:ind w:firstLine="708"/>
        <w:jc w:val="both"/>
        <w:rPr>
          <w:rFonts w:ascii="Times New Roman" w:hAnsi="Times New Roman" w:cs="Times New Roman"/>
          <w:sz w:val="28"/>
          <w:szCs w:val="28"/>
        </w:rPr>
      </w:pPr>
    </w:p>
    <w:p w:rsidR="00532C86" w:rsidRPr="00D64AED" w:rsidRDefault="00874300" w:rsidP="00532C86">
      <w:pPr>
        <w:ind w:firstLine="708"/>
        <w:jc w:val="both"/>
        <w:rPr>
          <w:rFonts w:ascii="Times New Roman" w:hAnsi="Times New Roman" w:cs="Times New Roman"/>
          <w:sz w:val="28"/>
          <w:szCs w:val="28"/>
        </w:rPr>
      </w:pPr>
      <w:r w:rsidRPr="00874300">
        <w:rPr>
          <w:rFonts w:ascii="Times New Roman" w:hAnsi="Times New Roman" w:cs="Times New Roman"/>
          <w:b/>
          <w:bCs/>
          <w:sz w:val="28"/>
          <w:szCs w:val="28"/>
        </w:rPr>
        <w:t>Гідрогеологічні дослідження території Калуського гірничопромислового району</w:t>
      </w:r>
    </w:p>
    <w:p w:rsidR="00874300" w:rsidRDefault="00874300" w:rsidP="00874300">
      <w:pPr>
        <w:ind w:firstLine="708"/>
        <w:jc w:val="both"/>
        <w:rPr>
          <w:rFonts w:ascii="Times New Roman" w:hAnsi="Times New Roman" w:cs="Times New Roman"/>
          <w:b/>
          <w:bCs/>
          <w:sz w:val="28"/>
          <w:szCs w:val="28"/>
        </w:rPr>
      </w:pPr>
    </w:p>
    <w:p w:rsidR="00874300" w:rsidRPr="00874300" w:rsidRDefault="00874300" w:rsidP="00874300">
      <w:pPr>
        <w:ind w:firstLine="708"/>
        <w:jc w:val="center"/>
        <w:rPr>
          <w:rFonts w:ascii="Times New Roman" w:hAnsi="Times New Roman" w:cs="Times New Roman"/>
          <w:sz w:val="28"/>
          <w:szCs w:val="28"/>
        </w:rPr>
      </w:pPr>
      <w:r w:rsidRPr="00874300">
        <w:rPr>
          <w:rFonts w:ascii="Times New Roman" w:hAnsi="Times New Roman" w:cs="Times New Roman"/>
          <w:b/>
          <w:bCs/>
          <w:sz w:val="28"/>
          <w:szCs w:val="28"/>
        </w:rPr>
        <w:t>Стан спостережних гідрогеологічних свердловин</w:t>
      </w:r>
    </w:p>
    <w:p w:rsidR="00874300" w:rsidRPr="00D64AED" w:rsidRDefault="00874300" w:rsidP="00532C86">
      <w:pPr>
        <w:ind w:firstLine="708"/>
        <w:jc w:val="both"/>
        <w:rPr>
          <w:rFonts w:ascii="Times New Roman" w:hAnsi="Times New Roman" w:cs="Times New Roman"/>
          <w:sz w:val="28"/>
          <w:szCs w:val="28"/>
        </w:rPr>
      </w:pPr>
    </w:p>
    <w:p w:rsidR="00874300" w:rsidRDefault="00874300" w:rsidP="00532C86">
      <w:pPr>
        <w:ind w:firstLine="708"/>
        <w:jc w:val="both"/>
        <w:rPr>
          <w:rFonts w:ascii="Times New Roman" w:hAnsi="Times New Roman" w:cs="Times New Roman"/>
          <w:sz w:val="28"/>
          <w:szCs w:val="28"/>
        </w:rPr>
      </w:pPr>
      <w:r w:rsidRPr="00874300">
        <w:rPr>
          <w:rFonts w:ascii="Times New Roman" w:hAnsi="Times New Roman" w:cs="Times New Roman"/>
          <w:noProof/>
          <w:sz w:val="28"/>
          <w:szCs w:val="28"/>
          <w:lang w:bidi="ar-SA"/>
        </w:rPr>
        <w:drawing>
          <wp:inline distT="0" distB="0" distL="0" distR="0">
            <wp:extent cx="6121400" cy="5932488"/>
            <wp:effectExtent l="19050" t="0" r="0" b="0"/>
            <wp:docPr id="6" name="Рисунок 4"/>
            <wp:cNvGraphicFramePr/>
            <a:graphic xmlns:a="http://schemas.openxmlformats.org/drawingml/2006/main">
              <a:graphicData uri="http://schemas.openxmlformats.org/drawingml/2006/picture">
                <pic:pic xmlns:pic="http://schemas.openxmlformats.org/drawingml/2006/picture">
                  <pic:nvPicPr>
                    <pic:cNvPr id="62467" name="Рисунок 7"/>
                    <pic:cNvPicPr>
                      <a:picLocks noChangeAspect="1"/>
                    </pic:cNvPicPr>
                  </pic:nvPicPr>
                  <pic:blipFill>
                    <a:blip r:embed="rId6" cstate="print"/>
                    <a:srcRect/>
                    <a:stretch>
                      <a:fillRect/>
                    </a:stretch>
                  </pic:blipFill>
                  <pic:spPr bwMode="auto">
                    <a:xfrm>
                      <a:off x="0" y="0"/>
                      <a:ext cx="6121400" cy="5932488"/>
                    </a:xfrm>
                    <a:prstGeom prst="rect">
                      <a:avLst/>
                    </a:prstGeom>
                    <a:noFill/>
                    <a:ln w="9525">
                      <a:noFill/>
                      <a:miter lim="800000"/>
                      <a:headEnd/>
                      <a:tailEnd/>
                    </a:ln>
                  </pic:spPr>
                </pic:pic>
              </a:graphicData>
            </a:graphic>
          </wp:inline>
        </w:drawing>
      </w:r>
    </w:p>
    <w:p w:rsidR="00874300" w:rsidRDefault="00874300" w:rsidP="00874300">
      <w:pPr>
        <w:rPr>
          <w:rFonts w:ascii="Times New Roman" w:hAnsi="Times New Roman" w:cs="Times New Roman"/>
          <w:sz w:val="28"/>
          <w:szCs w:val="28"/>
        </w:rPr>
      </w:pPr>
    </w:p>
    <w:p w:rsidR="00A106E8" w:rsidRDefault="00A106E8" w:rsidP="00874300">
      <w:pPr>
        <w:rPr>
          <w:rFonts w:ascii="Times New Roman" w:hAnsi="Times New Roman" w:cs="Times New Roman"/>
          <w:sz w:val="28"/>
          <w:szCs w:val="28"/>
        </w:rPr>
      </w:pPr>
    </w:p>
    <w:p w:rsidR="00A106E8" w:rsidRDefault="00A106E8" w:rsidP="00874300">
      <w:pPr>
        <w:rPr>
          <w:rFonts w:ascii="Times New Roman" w:hAnsi="Times New Roman" w:cs="Times New Roman"/>
          <w:sz w:val="28"/>
          <w:szCs w:val="28"/>
        </w:rPr>
      </w:pPr>
    </w:p>
    <w:p w:rsidR="00A106E8" w:rsidRDefault="00A106E8" w:rsidP="00874300">
      <w:pPr>
        <w:rPr>
          <w:rFonts w:ascii="Times New Roman" w:hAnsi="Times New Roman" w:cs="Times New Roman"/>
          <w:sz w:val="28"/>
          <w:szCs w:val="28"/>
        </w:rPr>
      </w:pPr>
    </w:p>
    <w:p w:rsidR="00A106E8" w:rsidRDefault="00A106E8" w:rsidP="00874300">
      <w:pPr>
        <w:rPr>
          <w:rFonts w:ascii="Times New Roman" w:hAnsi="Times New Roman" w:cs="Times New Roman"/>
          <w:sz w:val="28"/>
          <w:szCs w:val="28"/>
        </w:rPr>
      </w:pPr>
    </w:p>
    <w:p w:rsidR="00A106E8" w:rsidRDefault="00A106E8" w:rsidP="00874300">
      <w:pPr>
        <w:rPr>
          <w:rFonts w:ascii="Times New Roman" w:hAnsi="Times New Roman" w:cs="Times New Roman"/>
          <w:sz w:val="28"/>
          <w:szCs w:val="28"/>
        </w:rPr>
      </w:pPr>
    </w:p>
    <w:p w:rsidR="00A106E8" w:rsidRDefault="00A106E8" w:rsidP="00874300">
      <w:pPr>
        <w:rPr>
          <w:rFonts w:ascii="Times New Roman" w:hAnsi="Times New Roman" w:cs="Times New Roman"/>
          <w:sz w:val="28"/>
          <w:szCs w:val="28"/>
        </w:rPr>
      </w:pPr>
    </w:p>
    <w:p w:rsidR="00A106E8" w:rsidRDefault="00A106E8" w:rsidP="00874300">
      <w:pPr>
        <w:rPr>
          <w:rFonts w:ascii="Times New Roman" w:hAnsi="Times New Roman" w:cs="Times New Roman"/>
          <w:sz w:val="28"/>
          <w:szCs w:val="28"/>
        </w:rPr>
      </w:pPr>
    </w:p>
    <w:p w:rsidR="00A106E8" w:rsidRDefault="00A106E8" w:rsidP="00874300">
      <w:pPr>
        <w:rPr>
          <w:rFonts w:ascii="Times New Roman" w:hAnsi="Times New Roman" w:cs="Times New Roman"/>
          <w:sz w:val="28"/>
          <w:szCs w:val="28"/>
        </w:rPr>
      </w:pPr>
    </w:p>
    <w:p w:rsidR="00A106E8" w:rsidRDefault="00A106E8" w:rsidP="00874300">
      <w:pPr>
        <w:rPr>
          <w:rFonts w:ascii="Times New Roman" w:hAnsi="Times New Roman" w:cs="Times New Roman"/>
          <w:sz w:val="28"/>
          <w:szCs w:val="28"/>
        </w:rPr>
      </w:pPr>
    </w:p>
    <w:p w:rsidR="00A106E8" w:rsidRDefault="00A106E8" w:rsidP="00874300">
      <w:pPr>
        <w:rPr>
          <w:rFonts w:ascii="Times New Roman" w:hAnsi="Times New Roman" w:cs="Times New Roman"/>
          <w:sz w:val="28"/>
          <w:szCs w:val="28"/>
        </w:rPr>
      </w:pPr>
    </w:p>
    <w:p w:rsidR="00A106E8" w:rsidRDefault="00A106E8" w:rsidP="00874300">
      <w:pPr>
        <w:rPr>
          <w:rFonts w:ascii="Times New Roman" w:hAnsi="Times New Roman" w:cs="Times New Roman"/>
          <w:sz w:val="28"/>
          <w:szCs w:val="28"/>
        </w:rPr>
      </w:pPr>
    </w:p>
    <w:p w:rsidR="00A106E8" w:rsidRDefault="00A106E8" w:rsidP="00874300">
      <w:pPr>
        <w:rPr>
          <w:rFonts w:ascii="Times New Roman" w:hAnsi="Times New Roman" w:cs="Times New Roman"/>
          <w:sz w:val="28"/>
          <w:szCs w:val="28"/>
        </w:rPr>
      </w:pPr>
    </w:p>
    <w:p w:rsidR="001B05C1" w:rsidRPr="001B05C1" w:rsidRDefault="001B05C1" w:rsidP="00A106E8">
      <w:pPr>
        <w:jc w:val="center"/>
        <w:rPr>
          <w:rFonts w:ascii="Times New Roman" w:hAnsi="Times New Roman" w:cs="Times New Roman"/>
          <w:sz w:val="28"/>
          <w:szCs w:val="28"/>
        </w:rPr>
      </w:pPr>
      <w:r w:rsidRPr="001B05C1">
        <w:rPr>
          <w:rFonts w:ascii="Times New Roman" w:hAnsi="Times New Roman" w:cs="Times New Roman"/>
          <w:b/>
          <w:bCs/>
          <w:sz w:val="28"/>
          <w:szCs w:val="28"/>
        </w:rPr>
        <w:t>Солевий склад відібраних проб води</w:t>
      </w:r>
    </w:p>
    <w:p w:rsidR="00A106E8" w:rsidRDefault="00A106E8" w:rsidP="00A106E8">
      <w:pPr>
        <w:rPr>
          <w:rFonts w:ascii="Times New Roman" w:hAnsi="Times New Roman" w:cs="Times New Roman"/>
          <w:b/>
          <w:bCs/>
          <w:sz w:val="28"/>
          <w:szCs w:val="28"/>
        </w:rPr>
      </w:pPr>
      <w:r w:rsidRPr="00A106E8">
        <w:rPr>
          <w:rFonts w:ascii="Times New Roman" w:hAnsi="Times New Roman" w:cs="Times New Roman"/>
          <w:noProof/>
          <w:sz w:val="28"/>
          <w:szCs w:val="28"/>
          <w:lang w:bidi="ar-SA"/>
        </w:rPr>
        <w:drawing>
          <wp:inline distT="0" distB="0" distL="0" distR="0">
            <wp:extent cx="4827588" cy="6219825"/>
            <wp:effectExtent l="19050" t="0" r="0" b="0"/>
            <wp:docPr id="2" name="Рисунок 5"/>
            <wp:cNvGraphicFramePr/>
            <a:graphic xmlns:a="http://schemas.openxmlformats.org/drawingml/2006/main">
              <a:graphicData uri="http://schemas.openxmlformats.org/drawingml/2006/picture">
                <pic:pic xmlns:pic="http://schemas.openxmlformats.org/drawingml/2006/picture">
                  <pic:nvPicPr>
                    <pic:cNvPr id="63491" name="Рисунок 5"/>
                    <pic:cNvPicPr>
                      <a:picLocks noChangeAspect="1"/>
                    </pic:cNvPicPr>
                  </pic:nvPicPr>
                  <pic:blipFill>
                    <a:blip r:embed="rId7" cstate="print"/>
                    <a:srcRect/>
                    <a:stretch>
                      <a:fillRect/>
                    </a:stretch>
                  </pic:blipFill>
                  <pic:spPr bwMode="auto">
                    <a:xfrm>
                      <a:off x="0" y="0"/>
                      <a:ext cx="4827588" cy="6219825"/>
                    </a:xfrm>
                    <a:prstGeom prst="rect">
                      <a:avLst/>
                    </a:prstGeom>
                    <a:noFill/>
                    <a:ln w="9525">
                      <a:noFill/>
                      <a:miter lim="800000"/>
                      <a:headEnd/>
                      <a:tailEnd/>
                    </a:ln>
                  </pic:spPr>
                </pic:pic>
              </a:graphicData>
            </a:graphic>
          </wp:inline>
        </w:drawing>
      </w:r>
    </w:p>
    <w:p w:rsidR="00A106E8" w:rsidRDefault="00A106E8" w:rsidP="00A106E8">
      <w:pPr>
        <w:jc w:val="center"/>
        <w:rPr>
          <w:rFonts w:ascii="Times New Roman" w:hAnsi="Times New Roman" w:cs="Times New Roman"/>
          <w:b/>
          <w:bCs/>
          <w:sz w:val="28"/>
          <w:szCs w:val="28"/>
        </w:rPr>
      </w:pPr>
      <w:r w:rsidRPr="00A106E8">
        <w:rPr>
          <w:rFonts w:ascii="Times New Roman" w:hAnsi="Times New Roman" w:cs="Times New Roman"/>
          <w:b/>
          <w:bCs/>
          <w:sz w:val="28"/>
          <w:szCs w:val="28"/>
        </w:rPr>
        <w:t>Елементний склад відібраних проб води на метали</w:t>
      </w:r>
    </w:p>
    <w:p w:rsidR="00A106E8" w:rsidRPr="00A106E8" w:rsidRDefault="00A106E8" w:rsidP="00A106E8">
      <w:pPr>
        <w:jc w:val="center"/>
        <w:rPr>
          <w:rFonts w:ascii="Times New Roman" w:hAnsi="Times New Roman" w:cs="Times New Roman"/>
          <w:sz w:val="28"/>
          <w:szCs w:val="28"/>
        </w:rPr>
      </w:pPr>
    </w:p>
    <w:p w:rsidR="00A106E8" w:rsidRDefault="00A106E8" w:rsidP="00874300">
      <w:pPr>
        <w:rPr>
          <w:rFonts w:ascii="Times New Roman" w:hAnsi="Times New Roman" w:cs="Times New Roman"/>
          <w:sz w:val="28"/>
          <w:szCs w:val="28"/>
        </w:rPr>
      </w:pPr>
      <w:r w:rsidRPr="00A106E8">
        <w:rPr>
          <w:rFonts w:ascii="Times New Roman" w:hAnsi="Times New Roman" w:cs="Times New Roman"/>
          <w:noProof/>
          <w:sz w:val="28"/>
          <w:szCs w:val="28"/>
          <w:lang w:bidi="ar-SA"/>
        </w:rPr>
        <w:drawing>
          <wp:inline distT="0" distB="0" distL="0" distR="0">
            <wp:extent cx="6392848" cy="2129319"/>
            <wp:effectExtent l="0" t="0" r="0" b="0"/>
            <wp:docPr id="3" name="Рисунок 1"/>
            <wp:cNvGraphicFramePr/>
            <a:graphic xmlns:a="http://schemas.openxmlformats.org/drawingml/2006/main">
              <a:graphicData uri="http://schemas.openxmlformats.org/drawingml/2006/picture">
                <pic:pic xmlns:pic="http://schemas.openxmlformats.org/drawingml/2006/picture">
                  <pic:nvPicPr>
                    <pic:cNvPr id="64516" name="Рисунок 8"/>
                    <pic:cNvPicPr>
                      <a:picLocks noChangeAspect="1"/>
                    </pic:cNvPicPr>
                  </pic:nvPicPr>
                  <pic:blipFill>
                    <a:blip r:embed="rId8" cstate="print"/>
                    <a:srcRect/>
                    <a:stretch>
                      <a:fillRect/>
                    </a:stretch>
                  </pic:blipFill>
                  <pic:spPr bwMode="auto">
                    <a:xfrm>
                      <a:off x="0" y="0"/>
                      <a:ext cx="6396804" cy="2130637"/>
                    </a:xfrm>
                    <a:prstGeom prst="rect">
                      <a:avLst/>
                    </a:prstGeom>
                    <a:noFill/>
                    <a:ln w="9525">
                      <a:noFill/>
                      <a:miter lim="800000"/>
                      <a:headEnd/>
                      <a:tailEnd/>
                    </a:ln>
                  </pic:spPr>
                </pic:pic>
              </a:graphicData>
            </a:graphic>
          </wp:inline>
        </w:drawing>
      </w:r>
    </w:p>
    <w:p w:rsidR="00A106E8" w:rsidRDefault="00A106E8" w:rsidP="00874300">
      <w:pPr>
        <w:rPr>
          <w:rFonts w:ascii="Times New Roman" w:hAnsi="Times New Roman" w:cs="Times New Roman"/>
          <w:sz w:val="28"/>
          <w:szCs w:val="28"/>
        </w:rPr>
      </w:pPr>
    </w:p>
    <w:p w:rsidR="00B02948" w:rsidRDefault="00B02948" w:rsidP="00874300">
      <w:pPr>
        <w:rPr>
          <w:rFonts w:ascii="Times New Roman" w:hAnsi="Times New Roman" w:cs="Times New Roman"/>
          <w:sz w:val="28"/>
          <w:szCs w:val="28"/>
        </w:rPr>
      </w:pPr>
    </w:p>
    <w:p w:rsidR="00B02948" w:rsidRDefault="00B02948" w:rsidP="00874300">
      <w:pPr>
        <w:rPr>
          <w:rFonts w:ascii="Times New Roman" w:hAnsi="Times New Roman" w:cs="Times New Roman"/>
          <w:sz w:val="28"/>
          <w:szCs w:val="28"/>
        </w:rPr>
      </w:pPr>
    </w:p>
    <w:p w:rsidR="00A106E8" w:rsidRDefault="00A106E8" w:rsidP="00A106E8">
      <w:pPr>
        <w:jc w:val="center"/>
        <w:rPr>
          <w:rFonts w:ascii="Times New Roman" w:hAnsi="Times New Roman" w:cs="Times New Roman"/>
          <w:b/>
          <w:bCs/>
          <w:sz w:val="28"/>
          <w:szCs w:val="28"/>
        </w:rPr>
      </w:pPr>
      <w:r w:rsidRPr="00A106E8">
        <w:rPr>
          <w:rFonts w:ascii="Times New Roman" w:hAnsi="Times New Roman" w:cs="Times New Roman"/>
          <w:b/>
          <w:bCs/>
          <w:sz w:val="28"/>
          <w:szCs w:val="28"/>
        </w:rPr>
        <w:t>Зміна мінералізації підземних вод території дослідження за впливом об’єктів – джерел засолення (на протязі 2020 - 2021 років)</w:t>
      </w:r>
    </w:p>
    <w:p w:rsidR="000D0040" w:rsidRPr="00A106E8" w:rsidRDefault="000D0040" w:rsidP="00A106E8">
      <w:pPr>
        <w:jc w:val="center"/>
        <w:rPr>
          <w:rFonts w:ascii="Times New Roman" w:hAnsi="Times New Roman" w:cs="Times New Roman"/>
          <w:sz w:val="28"/>
          <w:szCs w:val="28"/>
        </w:rPr>
      </w:pPr>
    </w:p>
    <w:p w:rsidR="00D72528" w:rsidRDefault="00A106E8" w:rsidP="00874300">
      <w:pPr>
        <w:rPr>
          <w:rFonts w:ascii="Times New Roman" w:hAnsi="Times New Roman" w:cs="Times New Roman"/>
          <w:sz w:val="28"/>
          <w:szCs w:val="28"/>
        </w:rPr>
      </w:pPr>
      <w:r w:rsidRPr="00A106E8">
        <w:rPr>
          <w:rFonts w:ascii="Times New Roman" w:hAnsi="Times New Roman" w:cs="Times New Roman"/>
          <w:noProof/>
          <w:sz w:val="28"/>
          <w:szCs w:val="28"/>
          <w:lang w:bidi="ar-SA"/>
        </w:rPr>
        <w:drawing>
          <wp:inline distT="0" distB="0" distL="0" distR="0">
            <wp:extent cx="6204885" cy="4731489"/>
            <wp:effectExtent l="19050" t="0" r="0" b="0"/>
            <wp:docPr id="4" name="Рисунок 2"/>
            <wp:cNvGraphicFramePr/>
            <a:graphic xmlns:a="http://schemas.openxmlformats.org/drawingml/2006/main">
              <a:graphicData uri="http://schemas.openxmlformats.org/drawingml/2006/picture">
                <pic:pic xmlns:pic="http://schemas.openxmlformats.org/drawingml/2006/picture">
                  <pic:nvPicPr>
                    <pic:cNvPr id="70659" name="Рисунок 5"/>
                    <pic:cNvPicPr>
                      <a:picLocks noChangeAspect="1"/>
                    </pic:cNvPicPr>
                  </pic:nvPicPr>
                  <pic:blipFill>
                    <a:blip r:embed="rId9" cstate="print"/>
                    <a:srcRect/>
                    <a:stretch>
                      <a:fillRect/>
                    </a:stretch>
                  </pic:blipFill>
                  <pic:spPr bwMode="auto">
                    <a:xfrm>
                      <a:off x="0" y="0"/>
                      <a:ext cx="6205855" cy="4732228"/>
                    </a:xfrm>
                    <a:prstGeom prst="rect">
                      <a:avLst/>
                    </a:prstGeom>
                    <a:noFill/>
                    <a:ln w="9525">
                      <a:noFill/>
                      <a:miter lim="800000"/>
                      <a:headEnd/>
                      <a:tailEnd/>
                    </a:ln>
                  </pic:spPr>
                </pic:pic>
              </a:graphicData>
            </a:graphic>
          </wp:inline>
        </w:drawing>
      </w:r>
      <w:r w:rsidRPr="00A106E8">
        <w:rPr>
          <w:rFonts w:ascii="Times New Roman" w:hAnsi="Times New Roman" w:cs="Times New Roman"/>
          <w:b/>
          <w:bCs/>
          <w:sz w:val="28"/>
          <w:szCs w:val="28"/>
        </w:rPr>
        <w:t>ВИСНОВКИ</w:t>
      </w:r>
      <w:r w:rsidRPr="00A106E8">
        <w:rPr>
          <w:rFonts w:ascii="Times New Roman" w:hAnsi="Times New Roman" w:cs="Times New Roman"/>
          <w:sz w:val="28"/>
          <w:szCs w:val="28"/>
        </w:rPr>
        <w:br/>
        <w:t>1. Аналіз проб, відібраних в спостережних гідрогеологічних свердловинах, підтвердив підвищення мінералізації порівняно з вимогами до питного водопостачання.</w:t>
      </w:r>
      <w:r w:rsidRPr="00A106E8">
        <w:rPr>
          <w:rFonts w:ascii="Times New Roman" w:hAnsi="Times New Roman" w:cs="Times New Roman"/>
          <w:sz w:val="28"/>
          <w:szCs w:val="28"/>
        </w:rPr>
        <w:br/>
        <w:t>2. Слід відмітити, що 2020-й рік був аномальним щодо засолення. Показники 2021-го року практично повторюють показники 2019 року.</w:t>
      </w:r>
      <w:r w:rsidRPr="00A106E8">
        <w:rPr>
          <w:rFonts w:ascii="Times New Roman" w:hAnsi="Times New Roman" w:cs="Times New Roman"/>
          <w:sz w:val="28"/>
          <w:szCs w:val="28"/>
        </w:rPr>
        <w:br/>
        <w:t>3. Встановлено значні перевищення щодо вмісту металів у пробах  води з Домбровського кар’єру та хвостосховища №2. У пробі зі шламонакопичувача у зв’язку із високим вмістом хлоридних та сульфатних солей вимірювання металів не проводилось</w:t>
      </w:r>
      <w:r w:rsidR="00D72528">
        <w:rPr>
          <w:rFonts w:ascii="Times New Roman" w:hAnsi="Times New Roman" w:cs="Times New Roman"/>
          <w:sz w:val="28"/>
          <w:szCs w:val="28"/>
        </w:rPr>
        <w:t>.</w:t>
      </w:r>
    </w:p>
    <w:p w:rsidR="00D72528" w:rsidRDefault="00A106E8" w:rsidP="00D72528">
      <w:pPr>
        <w:rPr>
          <w:rFonts w:ascii="Times New Roman" w:hAnsi="Times New Roman" w:cs="Times New Roman"/>
          <w:sz w:val="28"/>
          <w:szCs w:val="28"/>
        </w:rPr>
        <w:sectPr w:rsidR="00D72528" w:rsidSect="003A0DDB">
          <w:pgSz w:w="11900" w:h="16840"/>
          <w:pgMar w:top="993" w:right="567" w:bottom="567" w:left="1560" w:header="0" w:footer="6" w:gutter="0"/>
          <w:cols w:space="720"/>
          <w:noEndnote/>
          <w:docGrid w:linePitch="360"/>
        </w:sectPr>
      </w:pPr>
      <w:r w:rsidRPr="00A106E8">
        <w:rPr>
          <w:rFonts w:ascii="Times New Roman" w:hAnsi="Times New Roman" w:cs="Times New Roman"/>
          <w:sz w:val="28"/>
          <w:szCs w:val="28"/>
        </w:rPr>
        <w:t xml:space="preserve">Відповідно до викладеного вище купання у зазначених водоймах не є безпечним. </w:t>
      </w:r>
      <w:r w:rsidRPr="00A106E8">
        <w:rPr>
          <w:rFonts w:ascii="Times New Roman" w:hAnsi="Times New Roman" w:cs="Times New Roman"/>
          <w:sz w:val="28"/>
          <w:szCs w:val="28"/>
        </w:rPr>
        <w:br/>
      </w:r>
      <w:r w:rsidRPr="00A106E8">
        <w:rPr>
          <w:rFonts w:ascii="Times New Roman" w:hAnsi="Times New Roman" w:cs="Times New Roman"/>
          <w:b/>
          <w:bCs/>
          <w:sz w:val="28"/>
          <w:szCs w:val="28"/>
        </w:rPr>
        <w:t>Разом з тим слід вважати необхідним:</w:t>
      </w:r>
      <w:r w:rsidRPr="00A106E8">
        <w:rPr>
          <w:rFonts w:ascii="Times New Roman" w:hAnsi="Times New Roman" w:cs="Times New Roman"/>
          <w:b/>
          <w:bCs/>
          <w:sz w:val="28"/>
          <w:szCs w:val="28"/>
        </w:rPr>
        <w:br/>
      </w:r>
      <w:r w:rsidR="00D72528">
        <w:rPr>
          <w:rFonts w:ascii="Times New Roman" w:hAnsi="Times New Roman" w:cs="Times New Roman"/>
          <w:sz w:val="28"/>
          <w:szCs w:val="28"/>
        </w:rPr>
        <w:t xml:space="preserve">- </w:t>
      </w:r>
      <w:r w:rsidRPr="00A106E8">
        <w:rPr>
          <w:rFonts w:ascii="Times New Roman" w:hAnsi="Times New Roman" w:cs="Times New Roman"/>
          <w:sz w:val="28"/>
          <w:szCs w:val="28"/>
        </w:rPr>
        <w:t>виконання щорічних режимних спостережень в свердловинах;</w:t>
      </w:r>
      <w:r w:rsidRPr="00A106E8">
        <w:rPr>
          <w:rFonts w:ascii="Times New Roman" w:hAnsi="Times New Roman" w:cs="Times New Roman"/>
          <w:sz w:val="28"/>
          <w:szCs w:val="28"/>
        </w:rPr>
        <w:br/>
      </w:r>
      <w:r w:rsidR="00D72528">
        <w:rPr>
          <w:rFonts w:ascii="Times New Roman" w:hAnsi="Times New Roman" w:cs="Times New Roman"/>
          <w:sz w:val="28"/>
          <w:szCs w:val="28"/>
        </w:rPr>
        <w:t xml:space="preserve">- </w:t>
      </w:r>
      <w:r w:rsidRPr="00A106E8">
        <w:rPr>
          <w:rFonts w:ascii="Times New Roman" w:hAnsi="Times New Roman" w:cs="Times New Roman"/>
          <w:sz w:val="28"/>
          <w:szCs w:val="28"/>
        </w:rPr>
        <w:t>приведення сітки спостережних гідрогеологічних свердловин до сучасних вимог;</w:t>
      </w:r>
      <w:r w:rsidRPr="00A106E8">
        <w:rPr>
          <w:rFonts w:ascii="Times New Roman" w:hAnsi="Times New Roman" w:cs="Times New Roman"/>
          <w:sz w:val="28"/>
          <w:szCs w:val="28"/>
        </w:rPr>
        <w:br/>
      </w:r>
      <w:r w:rsidR="00D72528">
        <w:rPr>
          <w:rFonts w:ascii="Times New Roman" w:hAnsi="Times New Roman" w:cs="Times New Roman"/>
          <w:sz w:val="28"/>
          <w:szCs w:val="28"/>
        </w:rPr>
        <w:t xml:space="preserve">- </w:t>
      </w:r>
      <w:r w:rsidRPr="00A106E8">
        <w:rPr>
          <w:rFonts w:ascii="Times New Roman" w:hAnsi="Times New Roman" w:cs="Times New Roman"/>
          <w:sz w:val="28"/>
          <w:szCs w:val="28"/>
        </w:rPr>
        <w:t>оцінка площинної ураженості забруднення для Домбровського кар’єру, хвостосховищ, шламонакопичувачів, акумулюючих ємностей;</w:t>
      </w:r>
      <w:r w:rsidRPr="00A106E8">
        <w:rPr>
          <w:rFonts w:ascii="Times New Roman" w:hAnsi="Times New Roman" w:cs="Times New Roman"/>
          <w:sz w:val="28"/>
          <w:szCs w:val="28"/>
        </w:rPr>
        <w:br/>
      </w:r>
      <w:r w:rsidR="00D72528">
        <w:rPr>
          <w:rFonts w:ascii="Times New Roman" w:hAnsi="Times New Roman" w:cs="Times New Roman"/>
          <w:sz w:val="28"/>
          <w:szCs w:val="28"/>
        </w:rPr>
        <w:t xml:space="preserve">- </w:t>
      </w:r>
      <w:r w:rsidRPr="00A106E8">
        <w:rPr>
          <w:rFonts w:ascii="Times New Roman" w:hAnsi="Times New Roman" w:cs="Times New Roman"/>
          <w:sz w:val="28"/>
          <w:szCs w:val="28"/>
        </w:rPr>
        <w:t>побудова фізико-математичної гідрогеологічної моделі гідрогеохімічного забруднення території Калуського ГПР;</w:t>
      </w:r>
      <w:r w:rsidRPr="00A106E8">
        <w:rPr>
          <w:rFonts w:ascii="Times New Roman" w:hAnsi="Times New Roman" w:cs="Times New Roman"/>
          <w:sz w:val="28"/>
          <w:szCs w:val="28"/>
        </w:rPr>
        <w:br/>
      </w:r>
      <w:r w:rsidR="00D72528">
        <w:rPr>
          <w:rFonts w:ascii="Times New Roman" w:hAnsi="Times New Roman" w:cs="Times New Roman"/>
          <w:sz w:val="28"/>
          <w:szCs w:val="28"/>
        </w:rPr>
        <w:t xml:space="preserve">- </w:t>
      </w:r>
      <w:r w:rsidRPr="00A106E8">
        <w:rPr>
          <w:rFonts w:ascii="Times New Roman" w:hAnsi="Times New Roman" w:cs="Times New Roman"/>
          <w:sz w:val="28"/>
          <w:szCs w:val="28"/>
        </w:rPr>
        <w:t>визначення небезпеки забруднення басейну рік Лімниці та р. Дністра.</w:t>
      </w:r>
    </w:p>
    <w:p w:rsidR="00A106E8" w:rsidRDefault="00D72528" w:rsidP="00D72528">
      <w:pPr>
        <w:rPr>
          <w:rFonts w:ascii="Times New Roman" w:hAnsi="Times New Roman" w:cs="Times New Roman"/>
          <w:sz w:val="28"/>
          <w:szCs w:val="28"/>
        </w:rPr>
      </w:pPr>
      <w:r w:rsidRPr="00D72528">
        <w:rPr>
          <w:rFonts w:ascii="Times New Roman" w:hAnsi="Times New Roman" w:cs="Times New Roman"/>
          <w:noProof/>
          <w:sz w:val="28"/>
          <w:szCs w:val="28"/>
          <w:lang w:bidi="ar-SA"/>
        </w:rPr>
        <w:lastRenderedPageBreak/>
        <w:drawing>
          <wp:inline distT="0" distB="0" distL="0" distR="0">
            <wp:extent cx="9794801" cy="6645349"/>
            <wp:effectExtent l="19050" t="0" r="0" b="0"/>
            <wp:docPr id="5" name="Рисунок 3"/>
            <wp:cNvGraphicFramePr/>
            <a:graphic xmlns:a="http://schemas.openxmlformats.org/drawingml/2006/main">
              <a:graphicData uri="http://schemas.openxmlformats.org/drawingml/2006/picture">
                <pic:pic xmlns:pic="http://schemas.openxmlformats.org/drawingml/2006/picture">
                  <pic:nvPicPr>
                    <pic:cNvPr id="33794" name="Рисунок 4"/>
                    <pic:cNvPicPr>
                      <a:picLocks noChangeAspect="1"/>
                    </pic:cNvPicPr>
                  </pic:nvPicPr>
                  <pic:blipFill>
                    <a:blip r:embed="rId10" cstate="print"/>
                    <a:srcRect/>
                    <a:stretch>
                      <a:fillRect/>
                    </a:stretch>
                  </pic:blipFill>
                  <pic:spPr bwMode="auto">
                    <a:xfrm>
                      <a:off x="0" y="0"/>
                      <a:ext cx="9799936" cy="6648833"/>
                    </a:xfrm>
                    <a:prstGeom prst="rect">
                      <a:avLst/>
                    </a:prstGeom>
                    <a:noFill/>
                    <a:ln w="9525">
                      <a:noFill/>
                      <a:miter lim="800000"/>
                      <a:headEnd/>
                      <a:tailEnd/>
                    </a:ln>
                  </pic:spPr>
                </pic:pic>
              </a:graphicData>
            </a:graphic>
          </wp:inline>
        </w:drawing>
      </w:r>
    </w:p>
    <w:p w:rsidR="00D72528" w:rsidRDefault="00D72528" w:rsidP="00D72528">
      <w:pPr>
        <w:rPr>
          <w:rFonts w:ascii="Times New Roman" w:hAnsi="Times New Roman" w:cs="Times New Roman"/>
          <w:sz w:val="28"/>
          <w:szCs w:val="28"/>
        </w:rPr>
      </w:pPr>
      <w:r w:rsidRPr="00D72528">
        <w:rPr>
          <w:rFonts w:ascii="Times New Roman" w:hAnsi="Times New Roman" w:cs="Times New Roman"/>
          <w:noProof/>
          <w:sz w:val="28"/>
          <w:szCs w:val="28"/>
          <w:lang w:bidi="ar-SA"/>
        </w:rPr>
        <w:lastRenderedPageBreak/>
        <w:drawing>
          <wp:inline distT="0" distB="0" distL="0" distR="0">
            <wp:extent cx="8830448" cy="5947576"/>
            <wp:effectExtent l="19050" t="0" r="8752" b="0"/>
            <wp:docPr id="8" name="Рисунок 4" descr="калуш 1.jpg"/>
            <wp:cNvGraphicFramePr/>
            <a:graphic xmlns:a="http://schemas.openxmlformats.org/drawingml/2006/main">
              <a:graphicData uri="http://schemas.openxmlformats.org/drawingml/2006/picture">
                <pic:pic xmlns:pic="http://schemas.openxmlformats.org/drawingml/2006/picture">
                  <pic:nvPicPr>
                    <pic:cNvPr id="35842" name="Содержимое 3" descr="калуш 1.jpg"/>
                    <pic:cNvPicPr>
                      <a:picLocks noChangeAspect="1"/>
                    </pic:cNvPicPr>
                  </pic:nvPicPr>
                  <pic:blipFill>
                    <a:blip r:embed="rId11" cstate="print"/>
                    <a:srcRect/>
                    <a:stretch>
                      <a:fillRect/>
                    </a:stretch>
                  </pic:blipFill>
                  <pic:spPr bwMode="auto">
                    <a:xfrm>
                      <a:off x="0" y="0"/>
                      <a:ext cx="8843178" cy="5956150"/>
                    </a:xfrm>
                    <a:prstGeom prst="rect">
                      <a:avLst/>
                    </a:prstGeom>
                    <a:noFill/>
                    <a:ln w="9525">
                      <a:noFill/>
                      <a:miter lim="800000"/>
                      <a:headEnd/>
                      <a:tailEnd/>
                    </a:ln>
                  </pic:spPr>
                </pic:pic>
              </a:graphicData>
            </a:graphic>
          </wp:inline>
        </w:drawing>
      </w:r>
    </w:p>
    <w:p w:rsidR="00D72528" w:rsidRDefault="00D72528" w:rsidP="00874300">
      <w:pPr>
        <w:rPr>
          <w:rFonts w:ascii="Times New Roman" w:hAnsi="Times New Roman" w:cs="Times New Roman"/>
          <w:sz w:val="28"/>
          <w:szCs w:val="28"/>
        </w:rPr>
      </w:pPr>
    </w:p>
    <w:p w:rsidR="004C560C" w:rsidRDefault="004C560C" w:rsidP="00874300">
      <w:pPr>
        <w:rPr>
          <w:rFonts w:ascii="Times New Roman" w:hAnsi="Times New Roman" w:cs="Times New Roman"/>
          <w:sz w:val="28"/>
          <w:szCs w:val="28"/>
        </w:rPr>
      </w:pPr>
    </w:p>
    <w:p w:rsidR="004C560C" w:rsidRDefault="004C560C" w:rsidP="00874300">
      <w:pPr>
        <w:rPr>
          <w:rFonts w:ascii="Times New Roman" w:hAnsi="Times New Roman" w:cs="Times New Roman"/>
          <w:sz w:val="28"/>
          <w:szCs w:val="28"/>
        </w:rPr>
      </w:pPr>
    </w:p>
    <w:p w:rsidR="00D72528" w:rsidRPr="00D72528" w:rsidRDefault="00D72528" w:rsidP="004C560C">
      <w:pPr>
        <w:jc w:val="center"/>
        <w:rPr>
          <w:rFonts w:ascii="Times New Roman" w:hAnsi="Times New Roman" w:cs="Times New Roman"/>
          <w:sz w:val="28"/>
          <w:szCs w:val="28"/>
        </w:rPr>
      </w:pPr>
      <w:r w:rsidRPr="00D72528">
        <w:rPr>
          <w:rFonts w:ascii="Times New Roman" w:hAnsi="Times New Roman" w:cs="Times New Roman"/>
          <w:b/>
          <w:bCs/>
          <w:sz w:val="28"/>
          <w:szCs w:val="28"/>
        </w:rPr>
        <w:lastRenderedPageBreak/>
        <w:t>Схема розташування геофізичних профілів рудник «Ново-Голинь», с. Кропивник</w:t>
      </w:r>
    </w:p>
    <w:p w:rsidR="00D72528" w:rsidRDefault="00D72528" w:rsidP="00874300">
      <w:pPr>
        <w:rPr>
          <w:rFonts w:ascii="Times New Roman" w:hAnsi="Times New Roman" w:cs="Times New Roman"/>
          <w:sz w:val="28"/>
          <w:szCs w:val="28"/>
        </w:rPr>
      </w:pPr>
      <w:r w:rsidRPr="00D72528">
        <w:rPr>
          <w:rFonts w:ascii="Times New Roman" w:hAnsi="Times New Roman" w:cs="Times New Roman"/>
          <w:noProof/>
          <w:sz w:val="28"/>
          <w:szCs w:val="28"/>
          <w:lang w:bidi="ar-SA"/>
        </w:rPr>
        <w:drawing>
          <wp:inline distT="0" distB="0" distL="0" distR="0">
            <wp:extent cx="9486457" cy="5843657"/>
            <wp:effectExtent l="19050" t="0" r="443" b="0"/>
            <wp:docPr id="9" name="Рисунок 5"/>
            <wp:cNvGraphicFramePr/>
            <a:graphic xmlns:a="http://schemas.openxmlformats.org/drawingml/2006/main">
              <a:graphicData uri="http://schemas.openxmlformats.org/drawingml/2006/picture">
                <pic:pic xmlns:pic="http://schemas.openxmlformats.org/drawingml/2006/picture">
                  <pic:nvPicPr>
                    <pic:cNvPr id="46083" name="Рисунок 5"/>
                    <pic:cNvPicPr>
                      <a:picLocks noChangeAspect="1"/>
                    </pic:cNvPicPr>
                  </pic:nvPicPr>
                  <pic:blipFill>
                    <a:blip r:embed="rId12" cstate="print"/>
                    <a:srcRect l="5489" t="2750" r="6972" b="30051"/>
                    <a:stretch>
                      <a:fillRect/>
                    </a:stretch>
                  </pic:blipFill>
                  <pic:spPr bwMode="auto">
                    <a:xfrm>
                      <a:off x="0" y="0"/>
                      <a:ext cx="9494633" cy="5848694"/>
                    </a:xfrm>
                    <a:prstGeom prst="rect">
                      <a:avLst/>
                    </a:prstGeom>
                    <a:noFill/>
                    <a:ln w="9525">
                      <a:noFill/>
                      <a:miter lim="800000"/>
                      <a:headEnd/>
                      <a:tailEnd/>
                    </a:ln>
                  </pic:spPr>
                </pic:pic>
              </a:graphicData>
            </a:graphic>
          </wp:inline>
        </w:drawing>
      </w:r>
    </w:p>
    <w:p w:rsidR="004C560C" w:rsidRDefault="004C560C" w:rsidP="004C560C">
      <w:pPr>
        <w:rPr>
          <w:rFonts w:ascii="Times New Roman" w:hAnsi="Times New Roman" w:cs="Times New Roman"/>
          <w:b/>
          <w:bCs/>
          <w:sz w:val="28"/>
          <w:szCs w:val="28"/>
        </w:rPr>
      </w:pPr>
    </w:p>
    <w:p w:rsidR="004C560C" w:rsidRDefault="004C560C" w:rsidP="004C560C">
      <w:pPr>
        <w:rPr>
          <w:rFonts w:ascii="Times New Roman" w:hAnsi="Times New Roman" w:cs="Times New Roman"/>
          <w:b/>
          <w:bCs/>
          <w:sz w:val="28"/>
          <w:szCs w:val="28"/>
        </w:rPr>
      </w:pPr>
    </w:p>
    <w:p w:rsidR="004C560C" w:rsidRDefault="004C560C" w:rsidP="004C560C">
      <w:pPr>
        <w:rPr>
          <w:rFonts w:ascii="Times New Roman" w:hAnsi="Times New Roman" w:cs="Times New Roman"/>
          <w:b/>
          <w:bCs/>
          <w:sz w:val="28"/>
          <w:szCs w:val="28"/>
        </w:rPr>
      </w:pPr>
    </w:p>
    <w:p w:rsidR="004C560C" w:rsidRPr="004C560C" w:rsidRDefault="004C560C" w:rsidP="004C560C">
      <w:pPr>
        <w:jc w:val="center"/>
        <w:rPr>
          <w:rFonts w:ascii="Times New Roman" w:hAnsi="Times New Roman" w:cs="Times New Roman"/>
          <w:sz w:val="28"/>
          <w:szCs w:val="28"/>
        </w:rPr>
      </w:pPr>
      <w:r w:rsidRPr="004C560C">
        <w:rPr>
          <w:rFonts w:ascii="Times New Roman" w:hAnsi="Times New Roman" w:cs="Times New Roman"/>
          <w:b/>
          <w:bCs/>
          <w:sz w:val="28"/>
          <w:szCs w:val="28"/>
        </w:rPr>
        <w:lastRenderedPageBreak/>
        <w:t>Схема розташування геофізичних профілів рудник «Ново-Голинь», с. Сівка-Калуська</w:t>
      </w:r>
    </w:p>
    <w:p w:rsidR="004C560C" w:rsidRDefault="004C560C" w:rsidP="00874300">
      <w:pPr>
        <w:rPr>
          <w:rFonts w:ascii="Times New Roman" w:hAnsi="Times New Roman" w:cs="Times New Roman"/>
          <w:sz w:val="28"/>
          <w:szCs w:val="28"/>
        </w:rPr>
      </w:pPr>
      <w:r w:rsidRPr="004C560C">
        <w:rPr>
          <w:rFonts w:ascii="Times New Roman" w:hAnsi="Times New Roman" w:cs="Times New Roman"/>
          <w:noProof/>
          <w:sz w:val="28"/>
          <w:szCs w:val="28"/>
          <w:lang w:bidi="ar-SA"/>
        </w:rPr>
        <w:drawing>
          <wp:inline distT="0" distB="0" distL="0" distR="0">
            <wp:extent cx="9486457" cy="6188148"/>
            <wp:effectExtent l="19050" t="0" r="443" b="0"/>
            <wp:docPr id="10" name="Рисунок 6"/>
            <wp:cNvGraphicFramePr/>
            <a:graphic xmlns:a="http://schemas.openxmlformats.org/drawingml/2006/main">
              <a:graphicData uri="http://schemas.openxmlformats.org/drawingml/2006/picture">
                <pic:pic xmlns:pic="http://schemas.openxmlformats.org/drawingml/2006/picture">
                  <pic:nvPicPr>
                    <pic:cNvPr id="47108" name="Рисунок 6"/>
                    <pic:cNvPicPr>
                      <a:picLocks noChangeAspect="1"/>
                    </pic:cNvPicPr>
                  </pic:nvPicPr>
                  <pic:blipFill>
                    <a:blip r:embed="rId13" cstate="print"/>
                    <a:srcRect l="5113" t="5487" r="2751" b="5487"/>
                    <a:stretch>
                      <a:fillRect/>
                    </a:stretch>
                  </pic:blipFill>
                  <pic:spPr bwMode="auto">
                    <a:xfrm>
                      <a:off x="0" y="0"/>
                      <a:ext cx="9504134" cy="6199679"/>
                    </a:xfrm>
                    <a:prstGeom prst="rect">
                      <a:avLst/>
                    </a:prstGeom>
                    <a:noFill/>
                    <a:ln w="9525">
                      <a:noFill/>
                      <a:miter lim="800000"/>
                      <a:headEnd/>
                      <a:tailEnd/>
                    </a:ln>
                  </pic:spPr>
                </pic:pic>
              </a:graphicData>
            </a:graphic>
          </wp:inline>
        </w:drawing>
      </w:r>
    </w:p>
    <w:p w:rsidR="004C560C" w:rsidRDefault="004C560C" w:rsidP="00874300">
      <w:pPr>
        <w:rPr>
          <w:rFonts w:ascii="Times New Roman" w:hAnsi="Times New Roman" w:cs="Times New Roman"/>
          <w:sz w:val="28"/>
          <w:szCs w:val="28"/>
        </w:rPr>
      </w:pPr>
    </w:p>
    <w:p w:rsidR="004C560C" w:rsidRPr="004C560C" w:rsidRDefault="004C560C" w:rsidP="004C560C">
      <w:pPr>
        <w:jc w:val="center"/>
        <w:rPr>
          <w:rFonts w:ascii="Times New Roman" w:hAnsi="Times New Roman" w:cs="Times New Roman"/>
          <w:sz w:val="28"/>
          <w:szCs w:val="28"/>
        </w:rPr>
      </w:pPr>
      <w:r w:rsidRPr="004C560C">
        <w:rPr>
          <w:rFonts w:ascii="Times New Roman" w:hAnsi="Times New Roman" w:cs="Times New Roman"/>
          <w:b/>
          <w:bCs/>
          <w:sz w:val="28"/>
          <w:szCs w:val="28"/>
        </w:rPr>
        <w:lastRenderedPageBreak/>
        <w:t>Схема розташування геофізичних профілів рудник «Калуш», вул. Європейська</w:t>
      </w:r>
    </w:p>
    <w:p w:rsidR="004C560C" w:rsidRDefault="004C560C" w:rsidP="004C560C">
      <w:pPr>
        <w:jc w:val="center"/>
        <w:rPr>
          <w:rFonts w:ascii="Times New Roman" w:hAnsi="Times New Roman" w:cs="Times New Roman"/>
          <w:sz w:val="28"/>
          <w:szCs w:val="28"/>
        </w:rPr>
      </w:pPr>
      <w:r w:rsidRPr="004C560C">
        <w:rPr>
          <w:rFonts w:ascii="Times New Roman" w:hAnsi="Times New Roman" w:cs="Times New Roman"/>
          <w:noProof/>
          <w:sz w:val="28"/>
          <w:szCs w:val="28"/>
          <w:lang w:bidi="ar-SA"/>
        </w:rPr>
        <w:drawing>
          <wp:inline distT="0" distB="0" distL="0" distR="0">
            <wp:extent cx="9312851" cy="5550014"/>
            <wp:effectExtent l="19050" t="0" r="2599" b="0"/>
            <wp:docPr id="11" name="Рисунок 8"/>
            <wp:cNvGraphicFramePr/>
            <a:graphic xmlns:a="http://schemas.openxmlformats.org/drawingml/2006/main">
              <a:graphicData uri="http://schemas.openxmlformats.org/drawingml/2006/picture">
                <pic:pic xmlns:pic="http://schemas.openxmlformats.org/drawingml/2006/picture">
                  <pic:nvPicPr>
                    <pic:cNvPr id="48131" name="Рисунок 5"/>
                    <pic:cNvPicPr>
                      <a:picLocks noChangeAspect="1"/>
                    </pic:cNvPicPr>
                  </pic:nvPicPr>
                  <pic:blipFill>
                    <a:blip r:embed="rId14" cstate="print"/>
                    <a:srcRect l="6970" t="3799" r="6970" b="56300"/>
                    <a:stretch>
                      <a:fillRect/>
                    </a:stretch>
                  </pic:blipFill>
                  <pic:spPr bwMode="auto">
                    <a:xfrm>
                      <a:off x="0" y="0"/>
                      <a:ext cx="9312348" cy="5549714"/>
                    </a:xfrm>
                    <a:prstGeom prst="rect">
                      <a:avLst/>
                    </a:prstGeom>
                    <a:noFill/>
                    <a:ln w="9525">
                      <a:noFill/>
                      <a:miter lim="800000"/>
                      <a:headEnd/>
                      <a:tailEnd/>
                    </a:ln>
                  </pic:spPr>
                </pic:pic>
              </a:graphicData>
            </a:graphic>
          </wp:inline>
        </w:drawing>
      </w:r>
    </w:p>
    <w:p w:rsidR="004C560C" w:rsidRDefault="004C560C" w:rsidP="004C560C">
      <w:pPr>
        <w:jc w:val="center"/>
        <w:rPr>
          <w:rFonts w:ascii="Times New Roman" w:hAnsi="Times New Roman" w:cs="Times New Roman"/>
          <w:sz w:val="28"/>
          <w:szCs w:val="28"/>
        </w:rPr>
      </w:pPr>
    </w:p>
    <w:p w:rsidR="004C560C" w:rsidRDefault="004C560C" w:rsidP="004C560C">
      <w:pPr>
        <w:jc w:val="center"/>
        <w:rPr>
          <w:rFonts w:ascii="Times New Roman" w:hAnsi="Times New Roman" w:cs="Times New Roman"/>
          <w:sz w:val="28"/>
          <w:szCs w:val="28"/>
        </w:rPr>
      </w:pPr>
    </w:p>
    <w:p w:rsidR="004C560C" w:rsidRDefault="004C560C" w:rsidP="004C560C">
      <w:pPr>
        <w:jc w:val="center"/>
        <w:rPr>
          <w:rFonts w:ascii="Times New Roman" w:hAnsi="Times New Roman" w:cs="Times New Roman"/>
          <w:sz w:val="28"/>
          <w:szCs w:val="28"/>
        </w:rPr>
      </w:pPr>
    </w:p>
    <w:p w:rsidR="004C560C" w:rsidRDefault="004C560C" w:rsidP="004C560C">
      <w:pPr>
        <w:jc w:val="center"/>
        <w:rPr>
          <w:rFonts w:ascii="Times New Roman" w:hAnsi="Times New Roman" w:cs="Times New Roman"/>
          <w:sz w:val="28"/>
          <w:szCs w:val="28"/>
        </w:rPr>
      </w:pPr>
    </w:p>
    <w:p w:rsidR="004C560C" w:rsidRDefault="00392B26" w:rsidP="004C560C">
      <w:pPr>
        <w:jc w:val="center"/>
        <w:rPr>
          <w:rFonts w:ascii="Times New Roman" w:hAnsi="Times New Roman" w:cs="Times New Roman"/>
          <w:sz w:val="28"/>
          <w:szCs w:val="28"/>
        </w:rPr>
      </w:pPr>
      <w:r w:rsidRPr="00392B26">
        <w:rPr>
          <w:rFonts w:ascii="Times New Roman" w:hAnsi="Times New Roman" w:cs="Times New Roman"/>
          <w:b/>
          <w:bCs/>
          <w:sz w:val="28"/>
          <w:szCs w:val="28"/>
        </w:rPr>
        <w:lastRenderedPageBreak/>
        <w:t>Прогнозні зони осідання с. Кропивник за  геофізичними та геодезичними спостереженням</w:t>
      </w:r>
    </w:p>
    <w:p w:rsidR="004C560C" w:rsidRDefault="004C560C" w:rsidP="004C560C">
      <w:pPr>
        <w:jc w:val="center"/>
        <w:rPr>
          <w:rFonts w:ascii="Times New Roman" w:hAnsi="Times New Roman" w:cs="Times New Roman"/>
          <w:sz w:val="28"/>
          <w:szCs w:val="28"/>
        </w:rPr>
      </w:pPr>
      <w:r w:rsidRPr="004C560C">
        <w:rPr>
          <w:rFonts w:ascii="Times New Roman" w:hAnsi="Times New Roman" w:cs="Times New Roman"/>
          <w:noProof/>
          <w:sz w:val="28"/>
          <w:szCs w:val="28"/>
          <w:lang w:bidi="ar-SA"/>
        </w:rPr>
        <w:drawing>
          <wp:inline distT="0" distB="0" distL="0" distR="0">
            <wp:extent cx="8250541" cy="6071190"/>
            <wp:effectExtent l="19050" t="0" r="0" b="0"/>
            <wp:docPr id="12" name="Рисунок 9"/>
            <wp:cNvGraphicFramePr/>
            <a:graphic xmlns:a="http://schemas.openxmlformats.org/drawingml/2006/main">
              <a:graphicData uri="http://schemas.openxmlformats.org/drawingml/2006/picture">
                <pic:pic xmlns:pic="http://schemas.openxmlformats.org/drawingml/2006/picture">
                  <pic:nvPicPr>
                    <pic:cNvPr id="54275" name="Місце для вмісту 5"/>
                    <pic:cNvPicPr>
                      <a:picLocks noGrp="1" noChangeAspect="1"/>
                    </pic:cNvPicPr>
                  </pic:nvPicPr>
                  <pic:blipFill>
                    <a:blip r:embed="rId15" cstate="print"/>
                    <a:srcRect l="5551" t="12195" r="6247" b="3378"/>
                    <a:stretch>
                      <a:fillRect/>
                    </a:stretch>
                  </pic:blipFill>
                  <pic:spPr bwMode="auto">
                    <a:xfrm>
                      <a:off x="0" y="0"/>
                      <a:ext cx="8256106" cy="6075285"/>
                    </a:xfrm>
                    <a:prstGeom prst="rect">
                      <a:avLst/>
                    </a:prstGeom>
                    <a:noFill/>
                    <a:ln w="9525">
                      <a:noFill/>
                      <a:miter lim="800000"/>
                      <a:headEnd/>
                      <a:tailEnd/>
                    </a:ln>
                  </pic:spPr>
                </pic:pic>
              </a:graphicData>
            </a:graphic>
          </wp:inline>
        </w:drawing>
      </w:r>
    </w:p>
    <w:p w:rsidR="00392B26" w:rsidRDefault="00392B26" w:rsidP="004C560C">
      <w:pPr>
        <w:jc w:val="center"/>
        <w:rPr>
          <w:rFonts w:ascii="Times New Roman" w:hAnsi="Times New Roman" w:cs="Times New Roman"/>
          <w:sz w:val="28"/>
          <w:szCs w:val="28"/>
        </w:rPr>
      </w:pPr>
    </w:p>
    <w:p w:rsidR="00392B26" w:rsidRDefault="00392B26" w:rsidP="004C560C">
      <w:pPr>
        <w:jc w:val="center"/>
        <w:rPr>
          <w:rFonts w:ascii="Times New Roman" w:hAnsi="Times New Roman" w:cs="Times New Roman"/>
          <w:sz w:val="28"/>
          <w:szCs w:val="28"/>
        </w:rPr>
      </w:pPr>
    </w:p>
    <w:p w:rsidR="00392B26" w:rsidRPr="00392B26" w:rsidRDefault="00392B26" w:rsidP="00392B26">
      <w:pPr>
        <w:jc w:val="center"/>
        <w:rPr>
          <w:rFonts w:ascii="Times New Roman" w:hAnsi="Times New Roman" w:cs="Times New Roman"/>
          <w:sz w:val="28"/>
          <w:szCs w:val="28"/>
        </w:rPr>
      </w:pPr>
      <w:r w:rsidRPr="00392B26">
        <w:rPr>
          <w:rFonts w:ascii="Times New Roman" w:hAnsi="Times New Roman" w:cs="Times New Roman"/>
          <w:b/>
          <w:bCs/>
          <w:sz w:val="28"/>
          <w:szCs w:val="28"/>
        </w:rPr>
        <w:lastRenderedPageBreak/>
        <w:t>Прогнозні зони осідання с. Сівка-Калуська за  геофізичними та геодезичними спостереженнями</w:t>
      </w:r>
    </w:p>
    <w:p w:rsidR="00392B26" w:rsidRDefault="00392B26" w:rsidP="004C560C">
      <w:pPr>
        <w:jc w:val="center"/>
        <w:rPr>
          <w:rFonts w:ascii="Times New Roman" w:hAnsi="Times New Roman" w:cs="Times New Roman"/>
          <w:sz w:val="28"/>
          <w:szCs w:val="28"/>
        </w:rPr>
      </w:pPr>
    </w:p>
    <w:p w:rsidR="00392B26" w:rsidRDefault="00392B26" w:rsidP="004C560C">
      <w:pPr>
        <w:jc w:val="center"/>
        <w:rPr>
          <w:rFonts w:ascii="Times New Roman" w:hAnsi="Times New Roman" w:cs="Times New Roman"/>
          <w:sz w:val="28"/>
          <w:szCs w:val="28"/>
        </w:rPr>
      </w:pPr>
      <w:r w:rsidRPr="00392B26">
        <w:rPr>
          <w:rFonts w:ascii="Times New Roman" w:hAnsi="Times New Roman" w:cs="Times New Roman"/>
          <w:noProof/>
          <w:sz w:val="28"/>
          <w:szCs w:val="28"/>
          <w:lang w:bidi="ar-SA"/>
        </w:rPr>
        <w:drawing>
          <wp:inline distT="0" distB="0" distL="0" distR="0">
            <wp:extent cx="8263712" cy="6227749"/>
            <wp:effectExtent l="19050" t="0" r="3988" b="0"/>
            <wp:docPr id="13" name="Рисунок 10"/>
            <wp:cNvGraphicFramePr/>
            <a:graphic xmlns:a="http://schemas.openxmlformats.org/drawingml/2006/main">
              <a:graphicData uri="http://schemas.openxmlformats.org/drawingml/2006/picture">
                <pic:pic xmlns:pic="http://schemas.openxmlformats.org/drawingml/2006/picture">
                  <pic:nvPicPr>
                    <pic:cNvPr id="55299" name="Рисунок 2"/>
                    <pic:cNvPicPr>
                      <a:picLocks noChangeAspect="1"/>
                    </pic:cNvPicPr>
                  </pic:nvPicPr>
                  <pic:blipFill>
                    <a:blip r:embed="rId16" cstate="print"/>
                    <a:srcRect l="3757" t="15485" r="3281"/>
                    <a:stretch>
                      <a:fillRect/>
                    </a:stretch>
                  </pic:blipFill>
                  <pic:spPr bwMode="auto">
                    <a:xfrm>
                      <a:off x="0" y="0"/>
                      <a:ext cx="8273176" cy="6234881"/>
                    </a:xfrm>
                    <a:prstGeom prst="rect">
                      <a:avLst/>
                    </a:prstGeom>
                    <a:noFill/>
                    <a:ln w="9525">
                      <a:noFill/>
                      <a:miter lim="800000"/>
                      <a:headEnd/>
                      <a:tailEnd/>
                    </a:ln>
                  </pic:spPr>
                </pic:pic>
              </a:graphicData>
            </a:graphic>
          </wp:inline>
        </w:drawing>
      </w:r>
    </w:p>
    <w:p w:rsidR="00392B26" w:rsidRPr="00392B26" w:rsidRDefault="00392B26" w:rsidP="00392B26">
      <w:pPr>
        <w:jc w:val="center"/>
        <w:rPr>
          <w:rFonts w:ascii="Times New Roman" w:hAnsi="Times New Roman" w:cs="Times New Roman"/>
          <w:sz w:val="28"/>
          <w:szCs w:val="28"/>
        </w:rPr>
      </w:pPr>
      <w:r w:rsidRPr="00392B26">
        <w:rPr>
          <w:rFonts w:ascii="Times New Roman" w:hAnsi="Times New Roman" w:cs="Times New Roman"/>
          <w:b/>
          <w:bCs/>
          <w:sz w:val="28"/>
          <w:szCs w:val="28"/>
        </w:rPr>
        <w:lastRenderedPageBreak/>
        <w:t>Прогнозні зони осідання м. Калуш, вул. Європейська за  геофізичними та геодезичними спостереженнями</w:t>
      </w:r>
    </w:p>
    <w:p w:rsidR="00392B26" w:rsidRDefault="00392B26" w:rsidP="004C560C">
      <w:pPr>
        <w:jc w:val="center"/>
        <w:rPr>
          <w:rFonts w:ascii="Times New Roman" w:hAnsi="Times New Roman" w:cs="Times New Roman"/>
          <w:sz w:val="28"/>
          <w:szCs w:val="28"/>
        </w:rPr>
      </w:pPr>
    </w:p>
    <w:p w:rsidR="00392B26" w:rsidRDefault="00392B26" w:rsidP="004C560C">
      <w:pPr>
        <w:jc w:val="center"/>
        <w:rPr>
          <w:rFonts w:ascii="Times New Roman" w:hAnsi="Times New Roman" w:cs="Times New Roman"/>
          <w:sz w:val="28"/>
          <w:szCs w:val="28"/>
        </w:rPr>
      </w:pPr>
      <w:r w:rsidRPr="00392B26">
        <w:rPr>
          <w:rFonts w:ascii="Times New Roman" w:hAnsi="Times New Roman" w:cs="Times New Roman"/>
          <w:noProof/>
          <w:sz w:val="28"/>
          <w:szCs w:val="28"/>
          <w:lang w:bidi="ar-SA"/>
        </w:rPr>
        <w:drawing>
          <wp:inline distT="0" distB="0" distL="0" distR="0">
            <wp:extent cx="8518894" cy="6230185"/>
            <wp:effectExtent l="19050" t="0" r="0" b="0"/>
            <wp:docPr id="14" name="Рисунок 11"/>
            <wp:cNvGraphicFramePr/>
            <a:graphic xmlns:a="http://schemas.openxmlformats.org/drawingml/2006/main">
              <a:graphicData uri="http://schemas.openxmlformats.org/drawingml/2006/picture">
                <pic:pic xmlns:pic="http://schemas.openxmlformats.org/drawingml/2006/picture">
                  <pic:nvPicPr>
                    <pic:cNvPr id="57347" name="Рисунок 2"/>
                    <pic:cNvPicPr>
                      <a:picLocks noChangeAspect="1" noChangeArrowheads="1"/>
                    </pic:cNvPicPr>
                  </pic:nvPicPr>
                  <pic:blipFill>
                    <a:blip r:embed="rId17" cstate="print"/>
                    <a:srcRect l="3804" t="5228" r="6075" b="4985"/>
                    <a:stretch>
                      <a:fillRect/>
                    </a:stretch>
                  </pic:blipFill>
                  <pic:spPr bwMode="auto">
                    <a:xfrm>
                      <a:off x="0" y="0"/>
                      <a:ext cx="8527707" cy="6236630"/>
                    </a:xfrm>
                    <a:prstGeom prst="rect">
                      <a:avLst/>
                    </a:prstGeom>
                    <a:noFill/>
                    <a:ln w="9525">
                      <a:noFill/>
                      <a:miter lim="800000"/>
                      <a:headEnd/>
                      <a:tailEnd/>
                    </a:ln>
                  </pic:spPr>
                </pic:pic>
              </a:graphicData>
            </a:graphic>
          </wp:inline>
        </w:drawing>
      </w:r>
    </w:p>
    <w:p w:rsidR="00392B26" w:rsidRPr="00392B26" w:rsidRDefault="00392B26" w:rsidP="00392B26">
      <w:pPr>
        <w:jc w:val="center"/>
        <w:rPr>
          <w:rFonts w:ascii="Times New Roman" w:hAnsi="Times New Roman" w:cs="Times New Roman"/>
          <w:sz w:val="28"/>
          <w:szCs w:val="28"/>
        </w:rPr>
      </w:pPr>
      <w:r w:rsidRPr="00392B26">
        <w:rPr>
          <w:rFonts w:ascii="Times New Roman" w:hAnsi="Times New Roman" w:cs="Times New Roman"/>
          <w:b/>
          <w:bCs/>
          <w:sz w:val="28"/>
          <w:szCs w:val="28"/>
        </w:rPr>
        <w:lastRenderedPageBreak/>
        <w:t>Схема розташування спостережних гідрогеологічних свердловин та їх мінералізація на 2021 рік</w:t>
      </w:r>
    </w:p>
    <w:p w:rsidR="00392B26" w:rsidRDefault="00392B26" w:rsidP="004C560C">
      <w:pPr>
        <w:jc w:val="center"/>
        <w:rPr>
          <w:rFonts w:ascii="Times New Roman" w:hAnsi="Times New Roman" w:cs="Times New Roman"/>
          <w:sz w:val="28"/>
          <w:szCs w:val="28"/>
        </w:rPr>
      </w:pPr>
    </w:p>
    <w:p w:rsidR="00392B26" w:rsidRDefault="00392B26" w:rsidP="004C560C">
      <w:pPr>
        <w:jc w:val="center"/>
        <w:rPr>
          <w:rFonts w:ascii="Times New Roman" w:hAnsi="Times New Roman" w:cs="Times New Roman"/>
          <w:sz w:val="28"/>
          <w:szCs w:val="28"/>
        </w:rPr>
      </w:pPr>
      <w:r w:rsidRPr="00392B26">
        <w:rPr>
          <w:rFonts w:ascii="Times New Roman" w:hAnsi="Times New Roman" w:cs="Times New Roman"/>
          <w:noProof/>
          <w:sz w:val="28"/>
          <w:szCs w:val="28"/>
          <w:lang w:bidi="ar-SA"/>
        </w:rPr>
        <w:drawing>
          <wp:inline distT="0" distB="0" distL="0" distR="0">
            <wp:extent cx="9635313" cy="5986130"/>
            <wp:effectExtent l="19050" t="0" r="3987" b="0"/>
            <wp:docPr id="15" name="Рисунок 12"/>
            <wp:cNvGraphicFramePr/>
            <a:graphic xmlns:a="http://schemas.openxmlformats.org/drawingml/2006/main">
              <a:graphicData uri="http://schemas.openxmlformats.org/drawingml/2006/picture">
                <pic:pic xmlns:pic="http://schemas.openxmlformats.org/drawingml/2006/picture">
                  <pic:nvPicPr>
                    <pic:cNvPr id="65539" name="Рисунок 5"/>
                    <pic:cNvPicPr>
                      <a:picLocks noChangeAspect="1"/>
                    </pic:cNvPicPr>
                  </pic:nvPicPr>
                  <pic:blipFill>
                    <a:blip r:embed="rId18" cstate="print"/>
                    <a:srcRect l="3539" t="2736" b="3979"/>
                    <a:stretch>
                      <a:fillRect/>
                    </a:stretch>
                  </pic:blipFill>
                  <pic:spPr bwMode="auto">
                    <a:xfrm>
                      <a:off x="0" y="0"/>
                      <a:ext cx="9641811" cy="5990167"/>
                    </a:xfrm>
                    <a:prstGeom prst="rect">
                      <a:avLst/>
                    </a:prstGeom>
                    <a:noFill/>
                    <a:ln w="9525">
                      <a:noFill/>
                      <a:miter lim="800000"/>
                      <a:headEnd/>
                      <a:tailEnd/>
                    </a:ln>
                  </pic:spPr>
                </pic:pic>
              </a:graphicData>
            </a:graphic>
          </wp:inline>
        </w:drawing>
      </w:r>
    </w:p>
    <w:p w:rsidR="00392B26" w:rsidRDefault="00392B26" w:rsidP="004C560C">
      <w:pPr>
        <w:jc w:val="center"/>
        <w:rPr>
          <w:rFonts w:ascii="Times New Roman" w:hAnsi="Times New Roman" w:cs="Times New Roman"/>
          <w:sz w:val="28"/>
          <w:szCs w:val="28"/>
        </w:rPr>
      </w:pPr>
    </w:p>
    <w:p w:rsidR="00392B26" w:rsidRDefault="00392B26" w:rsidP="004C560C">
      <w:pPr>
        <w:jc w:val="center"/>
        <w:rPr>
          <w:rFonts w:ascii="Times New Roman" w:hAnsi="Times New Roman" w:cs="Times New Roman"/>
          <w:sz w:val="28"/>
          <w:szCs w:val="28"/>
        </w:rPr>
      </w:pPr>
      <w:r w:rsidRPr="00392B26">
        <w:rPr>
          <w:rFonts w:ascii="Times New Roman" w:hAnsi="Times New Roman" w:cs="Times New Roman"/>
          <w:b/>
          <w:bCs/>
          <w:sz w:val="28"/>
          <w:szCs w:val="28"/>
        </w:rPr>
        <w:lastRenderedPageBreak/>
        <w:t>Схема розташування ореолу засолення станом на 2021 рік</w:t>
      </w:r>
    </w:p>
    <w:p w:rsidR="00392B26" w:rsidRPr="00874300" w:rsidRDefault="00392B26" w:rsidP="004C560C">
      <w:pPr>
        <w:jc w:val="center"/>
        <w:rPr>
          <w:rFonts w:ascii="Times New Roman" w:hAnsi="Times New Roman" w:cs="Times New Roman"/>
          <w:sz w:val="28"/>
          <w:szCs w:val="28"/>
        </w:rPr>
      </w:pPr>
      <w:r w:rsidRPr="00392B26">
        <w:rPr>
          <w:rFonts w:ascii="Times New Roman" w:hAnsi="Times New Roman" w:cs="Times New Roman"/>
          <w:noProof/>
          <w:sz w:val="28"/>
          <w:szCs w:val="28"/>
          <w:lang w:bidi="ar-SA"/>
        </w:rPr>
        <w:drawing>
          <wp:inline distT="0" distB="0" distL="0" distR="0">
            <wp:extent cx="8685205" cy="6358269"/>
            <wp:effectExtent l="19050" t="0" r="1595" b="0"/>
            <wp:docPr id="16" name="Рисунок 13" descr="Zasol_Kalush_2021"/>
            <wp:cNvGraphicFramePr/>
            <a:graphic xmlns:a="http://schemas.openxmlformats.org/drawingml/2006/main">
              <a:graphicData uri="http://schemas.openxmlformats.org/drawingml/2006/picture">
                <pic:pic xmlns:pic="http://schemas.openxmlformats.org/drawingml/2006/picture">
                  <pic:nvPicPr>
                    <pic:cNvPr id="68612" name="Рисунок 5" descr="Zasol_Kalush_2021"/>
                    <pic:cNvPicPr>
                      <a:picLocks noChangeAspect="1" noChangeArrowheads="1"/>
                    </pic:cNvPicPr>
                  </pic:nvPicPr>
                  <pic:blipFill>
                    <a:blip r:embed="rId19" cstate="print"/>
                    <a:srcRect l="3090" t="4730"/>
                    <a:stretch>
                      <a:fillRect/>
                    </a:stretch>
                  </pic:blipFill>
                  <pic:spPr bwMode="auto">
                    <a:xfrm>
                      <a:off x="0" y="0"/>
                      <a:ext cx="8691062" cy="6362557"/>
                    </a:xfrm>
                    <a:prstGeom prst="rect">
                      <a:avLst/>
                    </a:prstGeom>
                    <a:noFill/>
                    <a:ln w="9525">
                      <a:noFill/>
                      <a:miter lim="800000"/>
                      <a:headEnd/>
                      <a:tailEnd/>
                    </a:ln>
                  </pic:spPr>
                </pic:pic>
              </a:graphicData>
            </a:graphic>
          </wp:inline>
        </w:drawing>
      </w:r>
    </w:p>
    <w:sectPr w:rsidR="00392B26" w:rsidRPr="00874300" w:rsidSect="004C560C">
      <w:pgSz w:w="16840" w:h="11900" w:orient="landscape"/>
      <w:pgMar w:top="709" w:right="993" w:bottom="567" w:left="567"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8C4" w:rsidRDefault="00E378C4" w:rsidP="006A3CB0">
      <w:r>
        <w:separator/>
      </w:r>
    </w:p>
  </w:endnote>
  <w:endnote w:type="continuationSeparator" w:id="0">
    <w:p w:rsidR="00E378C4" w:rsidRDefault="00E378C4" w:rsidP="006A3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Unicode MS">
    <w:altName w:val="MS Mincho"/>
    <w:panose1 w:val="020B0604020202020204"/>
    <w:charset w:val="80"/>
    <w:family w:val="swiss"/>
    <w:pitch w:val="variable"/>
    <w:sig w:usb0="00000000"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Heavy">
    <w:altName w:val="Arial Black"/>
    <w:panose1 w:val="020B09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8C4" w:rsidRDefault="00E378C4"/>
  </w:footnote>
  <w:footnote w:type="continuationSeparator" w:id="0">
    <w:p w:rsidR="00E378C4" w:rsidRDefault="00E378C4"/>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
  <w:rsids>
    <w:rsidRoot w:val="006A3CB0"/>
    <w:rsid w:val="00003A35"/>
    <w:rsid w:val="00010209"/>
    <w:rsid w:val="00044BFC"/>
    <w:rsid w:val="00054F96"/>
    <w:rsid w:val="000554EC"/>
    <w:rsid w:val="00056E35"/>
    <w:rsid w:val="0006324F"/>
    <w:rsid w:val="000659DA"/>
    <w:rsid w:val="00074CDC"/>
    <w:rsid w:val="00074D82"/>
    <w:rsid w:val="00077A1E"/>
    <w:rsid w:val="000C0F5D"/>
    <w:rsid w:val="000D0040"/>
    <w:rsid w:val="000D099E"/>
    <w:rsid w:val="000E487B"/>
    <w:rsid w:val="000F7221"/>
    <w:rsid w:val="0010499F"/>
    <w:rsid w:val="00106B0A"/>
    <w:rsid w:val="001362FA"/>
    <w:rsid w:val="00155AE3"/>
    <w:rsid w:val="0016259D"/>
    <w:rsid w:val="001668E1"/>
    <w:rsid w:val="001746A6"/>
    <w:rsid w:val="001764DD"/>
    <w:rsid w:val="00186985"/>
    <w:rsid w:val="001B05C1"/>
    <w:rsid w:val="001B4BA5"/>
    <w:rsid w:val="001C213D"/>
    <w:rsid w:val="001F76E5"/>
    <w:rsid w:val="00217BD8"/>
    <w:rsid w:val="002224D7"/>
    <w:rsid w:val="00225611"/>
    <w:rsid w:val="00247B20"/>
    <w:rsid w:val="00284D19"/>
    <w:rsid w:val="002A05EB"/>
    <w:rsid w:val="002A232F"/>
    <w:rsid w:val="002A4D95"/>
    <w:rsid w:val="002A77C1"/>
    <w:rsid w:val="002C1770"/>
    <w:rsid w:val="002C6F3D"/>
    <w:rsid w:val="002E6FF8"/>
    <w:rsid w:val="002E73C4"/>
    <w:rsid w:val="003026B7"/>
    <w:rsid w:val="0030301B"/>
    <w:rsid w:val="003051CF"/>
    <w:rsid w:val="00307F0D"/>
    <w:rsid w:val="003156CE"/>
    <w:rsid w:val="00332CAA"/>
    <w:rsid w:val="00333755"/>
    <w:rsid w:val="00392B26"/>
    <w:rsid w:val="003A0DDB"/>
    <w:rsid w:val="003B73F8"/>
    <w:rsid w:val="003D1AE7"/>
    <w:rsid w:val="003F275B"/>
    <w:rsid w:val="003F77FC"/>
    <w:rsid w:val="00423A41"/>
    <w:rsid w:val="00424B9F"/>
    <w:rsid w:val="00432823"/>
    <w:rsid w:val="0043605F"/>
    <w:rsid w:val="00441227"/>
    <w:rsid w:val="004511A9"/>
    <w:rsid w:val="004705D0"/>
    <w:rsid w:val="004914EE"/>
    <w:rsid w:val="004C292A"/>
    <w:rsid w:val="004C560C"/>
    <w:rsid w:val="004D4307"/>
    <w:rsid w:val="004D5FC6"/>
    <w:rsid w:val="004D65C4"/>
    <w:rsid w:val="004E783B"/>
    <w:rsid w:val="00500403"/>
    <w:rsid w:val="005036B6"/>
    <w:rsid w:val="00532C86"/>
    <w:rsid w:val="00536CB5"/>
    <w:rsid w:val="00537308"/>
    <w:rsid w:val="00537DDC"/>
    <w:rsid w:val="005468F0"/>
    <w:rsid w:val="00555CCF"/>
    <w:rsid w:val="005C1B11"/>
    <w:rsid w:val="005E3E47"/>
    <w:rsid w:val="005E419D"/>
    <w:rsid w:val="00623A5B"/>
    <w:rsid w:val="006246F5"/>
    <w:rsid w:val="00627A6A"/>
    <w:rsid w:val="00672009"/>
    <w:rsid w:val="006A3CB0"/>
    <w:rsid w:val="006F51E0"/>
    <w:rsid w:val="00736B79"/>
    <w:rsid w:val="00737CFE"/>
    <w:rsid w:val="0074089C"/>
    <w:rsid w:val="00770BDD"/>
    <w:rsid w:val="007A4C51"/>
    <w:rsid w:val="007F3110"/>
    <w:rsid w:val="00806369"/>
    <w:rsid w:val="00824737"/>
    <w:rsid w:val="0083104A"/>
    <w:rsid w:val="00831642"/>
    <w:rsid w:val="00847067"/>
    <w:rsid w:val="0085210B"/>
    <w:rsid w:val="00861F00"/>
    <w:rsid w:val="0086267D"/>
    <w:rsid w:val="0087012A"/>
    <w:rsid w:val="00874300"/>
    <w:rsid w:val="008A784F"/>
    <w:rsid w:val="008B6772"/>
    <w:rsid w:val="008C524D"/>
    <w:rsid w:val="008C7CC1"/>
    <w:rsid w:val="009173BD"/>
    <w:rsid w:val="00943C24"/>
    <w:rsid w:val="009579A8"/>
    <w:rsid w:val="00964111"/>
    <w:rsid w:val="009669E1"/>
    <w:rsid w:val="009838D6"/>
    <w:rsid w:val="009916F6"/>
    <w:rsid w:val="009A53EA"/>
    <w:rsid w:val="009D366E"/>
    <w:rsid w:val="00A106E8"/>
    <w:rsid w:val="00A9274E"/>
    <w:rsid w:val="00A9327C"/>
    <w:rsid w:val="00AD0B02"/>
    <w:rsid w:val="00AD3A0D"/>
    <w:rsid w:val="00AE3BA3"/>
    <w:rsid w:val="00B02948"/>
    <w:rsid w:val="00B04C83"/>
    <w:rsid w:val="00B36D0A"/>
    <w:rsid w:val="00B40503"/>
    <w:rsid w:val="00B458F5"/>
    <w:rsid w:val="00B70195"/>
    <w:rsid w:val="00B808A6"/>
    <w:rsid w:val="00B8777A"/>
    <w:rsid w:val="00BA0589"/>
    <w:rsid w:val="00BB19E7"/>
    <w:rsid w:val="00BC1405"/>
    <w:rsid w:val="00BD289C"/>
    <w:rsid w:val="00BD383E"/>
    <w:rsid w:val="00BD61AA"/>
    <w:rsid w:val="00BF2861"/>
    <w:rsid w:val="00C014DA"/>
    <w:rsid w:val="00C32F9D"/>
    <w:rsid w:val="00C4690A"/>
    <w:rsid w:val="00C56894"/>
    <w:rsid w:val="00C867CE"/>
    <w:rsid w:val="00CB60F8"/>
    <w:rsid w:val="00CC59FA"/>
    <w:rsid w:val="00CE3AF2"/>
    <w:rsid w:val="00CE75C2"/>
    <w:rsid w:val="00CF5648"/>
    <w:rsid w:val="00D04469"/>
    <w:rsid w:val="00D25D8D"/>
    <w:rsid w:val="00D33563"/>
    <w:rsid w:val="00D33A2C"/>
    <w:rsid w:val="00D608E1"/>
    <w:rsid w:val="00D61197"/>
    <w:rsid w:val="00D64AED"/>
    <w:rsid w:val="00D72528"/>
    <w:rsid w:val="00D836C7"/>
    <w:rsid w:val="00D97775"/>
    <w:rsid w:val="00DB4735"/>
    <w:rsid w:val="00DE52D7"/>
    <w:rsid w:val="00DF44D9"/>
    <w:rsid w:val="00DF5DD4"/>
    <w:rsid w:val="00E1406E"/>
    <w:rsid w:val="00E211D4"/>
    <w:rsid w:val="00E378C4"/>
    <w:rsid w:val="00E452B0"/>
    <w:rsid w:val="00E73881"/>
    <w:rsid w:val="00EB2569"/>
    <w:rsid w:val="00EC0C9F"/>
    <w:rsid w:val="00ED461B"/>
    <w:rsid w:val="00F12521"/>
    <w:rsid w:val="00F15C30"/>
    <w:rsid w:val="00F17CE2"/>
    <w:rsid w:val="00F21A13"/>
    <w:rsid w:val="00F47086"/>
    <w:rsid w:val="00F73477"/>
    <w:rsid w:val="00F94ED5"/>
    <w:rsid w:val="00FD768E"/>
    <w:rsid w:val="00FF5D4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A3C9F"/>
  <w15:docId w15:val="{6BAAE4F9-6B99-457F-B048-274E44AA0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uk-UA" w:eastAsia="uk-UA" w:bidi="uk-U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A3CB0"/>
    <w:rPr>
      <w:color w:val="000000"/>
    </w:rPr>
  </w:style>
  <w:style w:type="paragraph" w:styleId="1">
    <w:name w:val="heading 1"/>
    <w:basedOn w:val="a"/>
    <w:link w:val="10"/>
    <w:uiPriority w:val="9"/>
    <w:qFormat/>
    <w:rsid w:val="00EB2569"/>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bidi="ar-SA"/>
    </w:rPr>
  </w:style>
  <w:style w:type="paragraph" w:styleId="2">
    <w:name w:val="heading 2"/>
    <w:basedOn w:val="a"/>
    <w:next w:val="a"/>
    <w:link w:val="20"/>
    <w:uiPriority w:val="9"/>
    <w:semiHidden/>
    <w:unhideWhenUsed/>
    <w:qFormat/>
    <w:rsid w:val="00AD0B0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A3CB0"/>
    <w:rPr>
      <w:color w:val="0066CC"/>
      <w:u w:val="single"/>
    </w:rPr>
  </w:style>
  <w:style w:type="character" w:customStyle="1" w:styleId="3">
    <w:name w:val="Основной текст (3)_"/>
    <w:basedOn w:val="a0"/>
    <w:link w:val="30"/>
    <w:rsid w:val="006A3CB0"/>
    <w:rPr>
      <w:rFonts w:ascii="Times New Roman" w:eastAsia="Times New Roman" w:hAnsi="Times New Roman" w:cs="Times New Roman"/>
      <w:b w:val="0"/>
      <w:bCs w:val="0"/>
      <w:i w:val="0"/>
      <w:iCs w:val="0"/>
      <w:smallCaps w:val="0"/>
      <w:strike w:val="0"/>
      <w:sz w:val="26"/>
      <w:szCs w:val="26"/>
      <w:u w:val="none"/>
    </w:rPr>
  </w:style>
  <w:style w:type="character" w:customStyle="1" w:styleId="21">
    <w:name w:val="Основной текст (2)_"/>
    <w:basedOn w:val="a0"/>
    <w:link w:val="22"/>
    <w:rsid w:val="006A3CB0"/>
    <w:rPr>
      <w:rFonts w:ascii="Times New Roman" w:eastAsia="Times New Roman" w:hAnsi="Times New Roman" w:cs="Times New Roman"/>
      <w:b/>
      <w:bCs/>
      <w:i/>
      <w:iCs/>
      <w:smallCaps w:val="0"/>
      <w:strike w:val="0"/>
      <w:sz w:val="26"/>
      <w:szCs w:val="26"/>
      <w:u w:val="none"/>
    </w:rPr>
  </w:style>
  <w:style w:type="character" w:customStyle="1" w:styleId="23">
    <w:name w:val="Основной текст (2) + Не полужирный;Не курсив"/>
    <w:basedOn w:val="21"/>
    <w:rsid w:val="006A3CB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115pt">
    <w:name w:val="Основной текст (2) + 11;5 pt;Не курсив"/>
    <w:basedOn w:val="21"/>
    <w:rsid w:val="006A3CB0"/>
    <w:rPr>
      <w:rFonts w:ascii="Times New Roman" w:eastAsia="Times New Roman" w:hAnsi="Times New Roman" w:cs="Times New Roman"/>
      <w:b/>
      <w:bCs/>
      <w:i/>
      <w:iCs/>
      <w:smallCaps w:val="0"/>
      <w:strike w:val="0"/>
      <w:color w:val="000000"/>
      <w:spacing w:val="0"/>
      <w:w w:val="100"/>
      <w:position w:val="0"/>
      <w:sz w:val="23"/>
      <w:szCs w:val="23"/>
      <w:u w:val="none"/>
      <w:lang w:val="uk-UA" w:eastAsia="uk-UA" w:bidi="uk-UA"/>
    </w:rPr>
  </w:style>
  <w:style w:type="character" w:customStyle="1" w:styleId="212pt">
    <w:name w:val="Основной текст (2) + 12 pt;Не полужирный;Не курсив"/>
    <w:basedOn w:val="21"/>
    <w:rsid w:val="006A3CB0"/>
    <w:rPr>
      <w:rFonts w:ascii="Times New Roman" w:eastAsia="Times New Roman" w:hAnsi="Times New Roman" w:cs="Times New Roman"/>
      <w:b/>
      <w:bCs/>
      <w:i/>
      <w:iCs/>
      <w:smallCaps w:val="0"/>
      <w:strike w:val="0"/>
      <w:color w:val="000000"/>
      <w:spacing w:val="0"/>
      <w:w w:val="100"/>
      <w:position w:val="0"/>
      <w:sz w:val="24"/>
      <w:szCs w:val="24"/>
      <w:u w:val="none"/>
      <w:lang w:val="uk-UA" w:eastAsia="uk-UA" w:bidi="uk-UA"/>
    </w:rPr>
  </w:style>
  <w:style w:type="character" w:customStyle="1" w:styleId="24">
    <w:name w:val="Основной текст (2)"/>
    <w:basedOn w:val="21"/>
    <w:rsid w:val="006A3CB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12pt0">
    <w:name w:val="Основной текст (2) + 12 pt;Не полужирный"/>
    <w:basedOn w:val="21"/>
    <w:rsid w:val="006A3CB0"/>
    <w:rPr>
      <w:rFonts w:ascii="Times New Roman" w:eastAsia="Times New Roman" w:hAnsi="Times New Roman" w:cs="Times New Roman"/>
      <w:b/>
      <w:bCs/>
      <w:i/>
      <w:iCs/>
      <w:smallCaps w:val="0"/>
      <w:strike w:val="0"/>
      <w:color w:val="000000"/>
      <w:spacing w:val="0"/>
      <w:w w:val="100"/>
      <w:position w:val="0"/>
      <w:sz w:val="24"/>
      <w:szCs w:val="24"/>
      <w:u w:val="none"/>
      <w:lang w:val="uk-UA" w:eastAsia="uk-UA" w:bidi="uk-UA"/>
    </w:rPr>
  </w:style>
  <w:style w:type="paragraph" w:customStyle="1" w:styleId="30">
    <w:name w:val="Основной текст (3)"/>
    <w:basedOn w:val="a"/>
    <w:link w:val="3"/>
    <w:rsid w:val="006A3CB0"/>
    <w:pPr>
      <w:shd w:val="clear" w:color="auto" w:fill="FFFFFF"/>
      <w:spacing w:after="360" w:line="0" w:lineRule="atLeast"/>
      <w:jc w:val="right"/>
    </w:pPr>
    <w:rPr>
      <w:rFonts w:ascii="Times New Roman" w:eastAsia="Times New Roman" w:hAnsi="Times New Roman" w:cs="Times New Roman"/>
      <w:sz w:val="26"/>
      <w:szCs w:val="26"/>
    </w:rPr>
  </w:style>
  <w:style w:type="paragraph" w:customStyle="1" w:styleId="22">
    <w:name w:val="Основной текст (2)"/>
    <w:basedOn w:val="a"/>
    <w:link w:val="21"/>
    <w:rsid w:val="006A3CB0"/>
    <w:pPr>
      <w:shd w:val="clear" w:color="auto" w:fill="FFFFFF"/>
      <w:spacing w:before="360" w:after="60" w:line="0" w:lineRule="atLeast"/>
      <w:jc w:val="center"/>
    </w:pPr>
    <w:rPr>
      <w:rFonts w:ascii="Times New Roman" w:eastAsia="Times New Roman" w:hAnsi="Times New Roman" w:cs="Times New Roman"/>
      <w:b/>
      <w:bCs/>
      <w:i/>
      <w:iCs/>
      <w:sz w:val="26"/>
      <w:szCs w:val="26"/>
    </w:rPr>
  </w:style>
  <w:style w:type="paragraph" w:styleId="a4">
    <w:name w:val="Balloon Text"/>
    <w:basedOn w:val="a"/>
    <w:link w:val="a5"/>
    <w:uiPriority w:val="99"/>
    <w:semiHidden/>
    <w:unhideWhenUsed/>
    <w:rsid w:val="00432823"/>
    <w:rPr>
      <w:rFonts w:ascii="Tahoma" w:hAnsi="Tahoma" w:cs="Tahoma"/>
      <w:sz w:val="16"/>
      <w:szCs w:val="16"/>
    </w:rPr>
  </w:style>
  <w:style w:type="character" w:customStyle="1" w:styleId="a5">
    <w:name w:val="Текст выноски Знак"/>
    <w:basedOn w:val="a0"/>
    <w:link w:val="a4"/>
    <w:uiPriority w:val="99"/>
    <w:semiHidden/>
    <w:rsid w:val="00432823"/>
    <w:rPr>
      <w:rFonts w:ascii="Tahoma" w:hAnsi="Tahoma" w:cs="Tahoma"/>
      <w:color w:val="000000"/>
      <w:sz w:val="16"/>
      <w:szCs w:val="16"/>
    </w:rPr>
  </w:style>
  <w:style w:type="character" w:customStyle="1" w:styleId="25">
    <w:name w:val="Колонтитул (2)_"/>
    <w:basedOn w:val="a0"/>
    <w:link w:val="26"/>
    <w:rsid w:val="00CB60F8"/>
    <w:rPr>
      <w:rFonts w:ascii="Times New Roman" w:eastAsia="Times New Roman" w:hAnsi="Times New Roman" w:cs="Times New Roman"/>
      <w:shd w:val="clear" w:color="auto" w:fill="FFFFFF"/>
    </w:rPr>
  </w:style>
  <w:style w:type="character" w:customStyle="1" w:styleId="31">
    <w:name w:val="Основной текст (3) + Не курсив"/>
    <w:basedOn w:val="3"/>
    <w:rsid w:val="00CB60F8"/>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12pt1">
    <w:name w:val="Основной текст (2) + 12 pt;Курсив"/>
    <w:basedOn w:val="21"/>
    <w:rsid w:val="00CB60F8"/>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FranklinGothicHeavy65pt">
    <w:name w:val="Основной текст (2) + Franklin Gothic Heavy;6;5 pt;Курсив"/>
    <w:basedOn w:val="21"/>
    <w:rsid w:val="00CB60F8"/>
    <w:rPr>
      <w:rFonts w:ascii="Franklin Gothic Heavy" w:eastAsia="Franklin Gothic Heavy" w:hAnsi="Franklin Gothic Heavy" w:cs="Franklin Gothic Heavy"/>
      <w:b w:val="0"/>
      <w:bCs w:val="0"/>
      <w:i/>
      <w:iCs/>
      <w:smallCaps w:val="0"/>
      <w:strike w:val="0"/>
      <w:color w:val="000000"/>
      <w:spacing w:val="0"/>
      <w:w w:val="100"/>
      <w:position w:val="0"/>
      <w:sz w:val="13"/>
      <w:szCs w:val="13"/>
      <w:u w:val="none"/>
      <w:lang w:val="uk-UA" w:eastAsia="uk-UA" w:bidi="uk-UA"/>
    </w:rPr>
  </w:style>
  <w:style w:type="character" w:customStyle="1" w:styleId="265pt">
    <w:name w:val="Основной текст (2) + 6;5 pt"/>
    <w:basedOn w:val="21"/>
    <w:rsid w:val="00CB60F8"/>
    <w:rPr>
      <w:rFonts w:ascii="Times New Roman" w:eastAsia="Times New Roman" w:hAnsi="Times New Roman" w:cs="Times New Roman"/>
      <w:b w:val="0"/>
      <w:bCs w:val="0"/>
      <w:i w:val="0"/>
      <w:iCs w:val="0"/>
      <w:smallCaps w:val="0"/>
      <w:strike w:val="0"/>
      <w:color w:val="000000"/>
      <w:spacing w:val="0"/>
      <w:w w:val="100"/>
      <w:position w:val="0"/>
      <w:sz w:val="13"/>
      <w:szCs w:val="13"/>
      <w:u w:val="none"/>
      <w:lang w:val="uk-UA" w:eastAsia="uk-UA" w:bidi="uk-UA"/>
    </w:rPr>
  </w:style>
  <w:style w:type="character" w:customStyle="1" w:styleId="2FranklinGothicHeavy9pt">
    <w:name w:val="Основной текст (2) + Franklin Gothic Heavy;9 pt;Курсив"/>
    <w:basedOn w:val="21"/>
    <w:rsid w:val="00CB60F8"/>
    <w:rPr>
      <w:rFonts w:ascii="Franklin Gothic Heavy" w:eastAsia="Franklin Gothic Heavy" w:hAnsi="Franklin Gothic Heavy" w:cs="Franklin Gothic Heavy"/>
      <w:b w:val="0"/>
      <w:bCs w:val="0"/>
      <w:i/>
      <w:iCs/>
      <w:smallCaps w:val="0"/>
      <w:strike w:val="0"/>
      <w:color w:val="000000"/>
      <w:spacing w:val="0"/>
      <w:w w:val="100"/>
      <w:position w:val="0"/>
      <w:sz w:val="18"/>
      <w:szCs w:val="18"/>
      <w:u w:val="none"/>
      <w:lang w:val="uk-UA" w:eastAsia="uk-UA" w:bidi="uk-UA"/>
    </w:rPr>
  </w:style>
  <w:style w:type="character" w:customStyle="1" w:styleId="212pt2">
    <w:name w:val="Основной текст (2) + 12 pt"/>
    <w:basedOn w:val="21"/>
    <w:rsid w:val="00CB60F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27pt0pt">
    <w:name w:val="Основной текст (2) + 7 pt;Интервал 0 pt"/>
    <w:basedOn w:val="21"/>
    <w:rsid w:val="00CB60F8"/>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uk-UA" w:eastAsia="uk-UA" w:bidi="uk-UA"/>
    </w:rPr>
  </w:style>
  <w:style w:type="character" w:customStyle="1" w:styleId="a6">
    <w:name w:val="Колонтитул_"/>
    <w:basedOn w:val="a0"/>
    <w:link w:val="a7"/>
    <w:rsid w:val="00CB60F8"/>
    <w:rPr>
      <w:rFonts w:ascii="Times New Roman" w:eastAsia="Times New Roman" w:hAnsi="Times New Roman" w:cs="Times New Roman"/>
      <w:sz w:val="26"/>
      <w:szCs w:val="26"/>
      <w:shd w:val="clear" w:color="auto" w:fill="FFFFFF"/>
    </w:rPr>
  </w:style>
  <w:style w:type="character" w:customStyle="1" w:styleId="4">
    <w:name w:val="Основной текст (4)_"/>
    <w:basedOn w:val="a0"/>
    <w:link w:val="40"/>
    <w:rsid w:val="00CB60F8"/>
    <w:rPr>
      <w:rFonts w:ascii="Times New Roman" w:eastAsia="Times New Roman" w:hAnsi="Times New Roman" w:cs="Times New Roman"/>
      <w:shd w:val="clear" w:color="auto" w:fill="FFFFFF"/>
    </w:rPr>
  </w:style>
  <w:style w:type="character" w:customStyle="1" w:styleId="2105pt">
    <w:name w:val="Основной текст (2) + 10;5 pt"/>
    <w:basedOn w:val="21"/>
    <w:rsid w:val="00CB60F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2SegoeUI11pt">
    <w:name w:val="Основной текст (2) + Segoe UI;11 pt"/>
    <w:basedOn w:val="21"/>
    <w:rsid w:val="00CB60F8"/>
    <w:rPr>
      <w:rFonts w:ascii="Segoe UI" w:eastAsia="Segoe UI" w:hAnsi="Segoe UI" w:cs="Segoe UI"/>
      <w:b w:val="0"/>
      <w:bCs w:val="0"/>
      <w:i w:val="0"/>
      <w:iCs w:val="0"/>
      <w:smallCaps w:val="0"/>
      <w:strike w:val="0"/>
      <w:color w:val="000000"/>
      <w:spacing w:val="0"/>
      <w:w w:val="100"/>
      <w:position w:val="0"/>
      <w:sz w:val="22"/>
      <w:szCs w:val="22"/>
      <w:u w:val="none"/>
      <w:lang w:val="uk-UA" w:eastAsia="uk-UA" w:bidi="uk-UA"/>
    </w:rPr>
  </w:style>
  <w:style w:type="paragraph" w:customStyle="1" w:styleId="26">
    <w:name w:val="Колонтитул (2)"/>
    <w:basedOn w:val="a"/>
    <w:link w:val="25"/>
    <w:rsid w:val="00CB60F8"/>
    <w:pPr>
      <w:shd w:val="clear" w:color="auto" w:fill="FFFFFF"/>
      <w:spacing w:line="0" w:lineRule="atLeast"/>
    </w:pPr>
    <w:rPr>
      <w:rFonts w:ascii="Times New Roman" w:eastAsia="Times New Roman" w:hAnsi="Times New Roman" w:cs="Times New Roman"/>
      <w:color w:val="auto"/>
    </w:rPr>
  </w:style>
  <w:style w:type="paragraph" w:customStyle="1" w:styleId="a7">
    <w:name w:val="Колонтитул"/>
    <w:basedOn w:val="a"/>
    <w:link w:val="a6"/>
    <w:rsid w:val="00CB60F8"/>
    <w:pPr>
      <w:shd w:val="clear" w:color="auto" w:fill="FFFFFF"/>
      <w:spacing w:line="0" w:lineRule="atLeast"/>
      <w:jc w:val="right"/>
    </w:pPr>
    <w:rPr>
      <w:rFonts w:ascii="Times New Roman" w:eastAsia="Times New Roman" w:hAnsi="Times New Roman" w:cs="Times New Roman"/>
      <w:color w:val="auto"/>
      <w:sz w:val="26"/>
      <w:szCs w:val="26"/>
    </w:rPr>
  </w:style>
  <w:style w:type="paragraph" w:customStyle="1" w:styleId="40">
    <w:name w:val="Основной текст (4)"/>
    <w:basedOn w:val="a"/>
    <w:link w:val="4"/>
    <w:rsid w:val="00CB60F8"/>
    <w:pPr>
      <w:shd w:val="clear" w:color="auto" w:fill="FFFFFF"/>
      <w:spacing w:line="269" w:lineRule="exact"/>
      <w:jc w:val="center"/>
    </w:pPr>
    <w:rPr>
      <w:rFonts w:ascii="Times New Roman" w:eastAsia="Times New Roman" w:hAnsi="Times New Roman" w:cs="Times New Roman"/>
      <w:color w:val="auto"/>
    </w:rPr>
  </w:style>
  <w:style w:type="paragraph" w:styleId="a8">
    <w:name w:val="Normal (Web)"/>
    <w:basedOn w:val="a"/>
    <w:uiPriority w:val="99"/>
    <w:semiHidden/>
    <w:unhideWhenUsed/>
    <w:rsid w:val="008A784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0">
    <w:name w:val="Заголовок 1 Знак"/>
    <w:basedOn w:val="a0"/>
    <w:link w:val="1"/>
    <w:uiPriority w:val="9"/>
    <w:rsid w:val="00EB2569"/>
    <w:rPr>
      <w:rFonts w:ascii="Times New Roman" w:eastAsia="Times New Roman" w:hAnsi="Times New Roman" w:cs="Times New Roman"/>
      <w:b/>
      <w:bCs/>
      <w:kern w:val="36"/>
      <w:sz w:val="48"/>
      <w:szCs w:val="48"/>
      <w:lang w:bidi="ar-SA"/>
    </w:rPr>
  </w:style>
  <w:style w:type="character" w:styleId="a9">
    <w:name w:val="Strong"/>
    <w:basedOn w:val="a0"/>
    <w:uiPriority w:val="22"/>
    <w:qFormat/>
    <w:rsid w:val="00EB2569"/>
    <w:rPr>
      <w:b/>
      <w:bCs/>
    </w:rPr>
  </w:style>
  <w:style w:type="character" w:customStyle="1" w:styleId="20">
    <w:name w:val="Заголовок 2 Знак"/>
    <w:basedOn w:val="a0"/>
    <w:link w:val="2"/>
    <w:uiPriority w:val="9"/>
    <w:semiHidden/>
    <w:rsid w:val="00AD0B02"/>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27988">
      <w:bodyDiv w:val="1"/>
      <w:marLeft w:val="0"/>
      <w:marRight w:val="0"/>
      <w:marTop w:val="0"/>
      <w:marBottom w:val="0"/>
      <w:divBdr>
        <w:top w:val="none" w:sz="0" w:space="0" w:color="auto"/>
        <w:left w:val="none" w:sz="0" w:space="0" w:color="auto"/>
        <w:bottom w:val="none" w:sz="0" w:space="0" w:color="auto"/>
        <w:right w:val="none" w:sz="0" w:space="0" w:color="auto"/>
      </w:divBdr>
    </w:div>
    <w:div w:id="96558427">
      <w:bodyDiv w:val="1"/>
      <w:marLeft w:val="0"/>
      <w:marRight w:val="0"/>
      <w:marTop w:val="0"/>
      <w:marBottom w:val="0"/>
      <w:divBdr>
        <w:top w:val="none" w:sz="0" w:space="0" w:color="auto"/>
        <w:left w:val="none" w:sz="0" w:space="0" w:color="auto"/>
        <w:bottom w:val="none" w:sz="0" w:space="0" w:color="auto"/>
        <w:right w:val="none" w:sz="0" w:space="0" w:color="auto"/>
      </w:divBdr>
    </w:div>
    <w:div w:id="218983848">
      <w:bodyDiv w:val="1"/>
      <w:marLeft w:val="0"/>
      <w:marRight w:val="0"/>
      <w:marTop w:val="0"/>
      <w:marBottom w:val="0"/>
      <w:divBdr>
        <w:top w:val="none" w:sz="0" w:space="0" w:color="auto"/>
        <w:left w:val="none" w:sz="0" w:space="0" w:color="auto"/>
        <w:bottom w:val="none" w:sz="0" w:space="0" w:color="auto"/>
        <w:right w:val="none" w:sz="0" w:space="0" w:color="auto"/>
      </w:divBdr>
    </w:div>
    <w:div w:id="227957154">
      <w:bodyDiv w:val="1"/>
      <w:marLeft w:val="0"/>
      <w:marRight w:val="0"/>
      <w:marTop w:val="0"/>
      <w:marBottom w:val="0"/>
      <w:divBdr>
        <w:top w:val="none" w:sz="0" w:space="0" w:color="auto"/>
        <w:left w:val="none" w:sz="0" w:space="0" w:color="auto"/>
        <w:bottom w:val="none" w:sz="0" w:space="0" w:color="auto"/>
        <w:right w:val="none" w:sz="0" w:space="0" w:color="auto"/>
      </w:divBdr>
    </w:div>
    <w:div w:id="293827138">
      <w:bodyDiv w:val="1"/>
      <w:marLeft w:val="0"/>
      <w:marRight w:val="0"/>
      <w:marTop w:val="0"/>
      <w:marBottom w:val="0"/>
      <w:divBdr>
        <w:top w:val="none" w:sz="0" w:space="0" w:color="auto"/>
        <w:left w:val="none" w:sz="0" w:space="0" w:color="auto"/>
        <w:bottom w:val="none" w:sz="0" w:space="0" w:color="auto"/>
        <w:right w:val="none" w:sz="0" w:space="0" w:color="auto"/>
      </w:divBdr>
    </w:div>
    <w:div w:id="308947029">
      <w:bodyDiv w:val="1"/>
      <w:marLeft w:val="0"/>
      <w:marRight w:val="0"/>
      <w:marTop w:val="0"/>
      <w:marBottom w:val="0"/>
      <w:divBdr>
        <w:top w:val="none" w:sz="0" w:space="0" w:color="auto"/>
        <w:left w:val="none" w:sz="0" w:space="0" w:color="auto"/>
        <w:bottom w:val="none" w:sz="0" w:space="0" w:color="auto"/>
        <w:right w:val="none" w:sz="0" w:space="0" w:color="auto"/>
      </w:divBdr>
    </w:div>
    <w:div w:id="475532625">
      <w:bodyDiv w:val="1"/>
      <w:marLeft w:val="0"/>
      <w:marRight w:val="0"/>
      <w:marTop w:val="0"/>
      <w:marBottom w:val="0"/>
      <w:divBdr>
        <w:top w:val="none" w:sz="0" w:space="0" w:color="auto"/>
        <w:left w:val="none" w:sz="0" w:space="0" w:color="auto"/>
        <w:bottom w:val="none" w:sz="0" w:space="0" w:color="auto"/>
        <w:right w:val="none" w:sz="0" w:space="0" w:color="auto"/>
      </w:divBdr>
    </w:div>
    <w:div w:id="482046770">
      <w:bodyDiv w:val="1"/>
      <w:marLeft w:val="0"/>
      <w:marRight w:val="0"/>
      <w:marTop w:val="0"/>
      <w:marBottom w:val="0"/>
      <w:divBdr>
        <w:top w:val="none" w:sz="0" w:space="0" w:color="auto"/>
        <w:left w:val="none" w:sz="0" w:space="0" w:color="auto"/>
        <w:bottom w:val="none" w:sz="0" w:space="0" w:color="auto"/>
        <w:right w:val="none" w:sz="0" w:space="0" w:color="auto"/>
      </w:divBdr>
    </w:div>
    <w:div w:id="505556290">
      <w:bodyDiv w:val="1"/>
      <w:marLeft w:val="0"/>
      <w:marRight w:val="0"/>
      <w:marTop w:val="0"/>
      <w:marBottom w:val="0"/>
      <w:divBdr>
        <w:top w:val="none" w:sz="0" w:space="0" w:color="auto"/>
        <w:left w:val="none" w:sz="0" w:space="0" w:color="auto"/>
        <w:bottom w:val="none" w:sz="0" w:space="0" w:color="auto"/>
        <w:right w:val="none" w:sz="0" w:space="0" w:color="auto"/>
      </w:divBdr>
    </w:div>
    <w:div w:id="941690652">
      <w:bodyDiv w:val="1"/>
      <w:marLeft w:val="0"/>
      <w:marRight w:val="0"/>
      <w:marTop w:val="0"/>
      <w:marBottom w:val="0"/>
      <w:divBdr>
        <w:top w:val="none" w:sz="0" w:space="0" w:color="auto"/>
        <w:left w:val="none" w:sz="0" w:space="0" w:color="auto"/>
        <w:bottom w:val="none" w:sz="0" w:space="0" w:color="auto"/>
        <w:right w:val="none" w:sz="0" w:space="0" w:color="auto"/>
      </w:divBdr>
    </w:div>
    <w:div w:id="969940742">
      <w:bodyDiv w:val="1"/>
      <w:marLeft w:val="0"/>
      <w:marRight w:val="0"/>
      <w:marTop w:val="0"/>
      <w:marBottom w:val="0"/>
      <w:divBdr>
        <w:top w:val="none" w:sz="0" w:space="0" w:color="auto"/>
        <w:left w:val="none" w:sz="0" w:space="0" w:color="auto"/>
        <w:bottom w:val="none" w:sz="0" w:space="0" w:color="auto"/>
        <w:right w:val="none" w:sz="0" w:space="0" w:color="auto"/>
      </w:divBdr>
    </w:div>
    <w:div w:id="1185748974">
      <w:bodyDiv w:val="1"/>
      <w:marLeft w:val="0"/>
      <w:marRight w:val="0"/>
      <w:marTop w:val="0"/>
      <w:marBottom w:val="0"/>
      <w:divBdr>
        <w:top w:val="none" w:sz="0" w:space="0" w:color="auto"/>
        <w:left w:val="none" w:sz="0" w:space="0" w:color="auto"/>
        <w:bottom w:val="none" w:sz="0" w:space="0" w:color="auto"/>
        <w:right w:val="none" w:sz="0" w:space="0" w:color="auto"/>
      </w:divBdr>
      <w:divsChild>
        <w:div w:id="774666712">
          <w:marLeft w:val="0"/>
          <w:marRight w:val="0"/>
          <w:marTop w:val="0"/>
          <w:marBottom w:val="0"/>
          <w:divBdr>
            <w:top w:val="none" w:sz="0" w:space="0" w:color="auto"/>
            <w:left w:val="none" w:sz="0" w:space="0" w:color="auto"/>
            <w:bottom w:val="none" w:sz="0" w:space="0" w:color="auto"/>
            <w:right w:val="none" w:sz="0" w:space="0" w:color="auto"/>
          </w:divBdr>
          <w:divsChild>
            <w:div w:id="956762869">
              <w:marLeft w:val="0"/>
              <w:marRight w:val="0"/>
              <w:marTop w:val="188"/>
              <w:marBottom w:val="0"/>
              <w:divBdr>
                <w:top w:val="none" w:sz="0" w:space="0" w:color="auto"/>
                <w:left w:val="none" w:sz="0" w:space="0" w:color="auto"/>
                <w:bottom w:val="none" w:sz="0" w:space="0" w:color="auto"/>
                <w:right w:val="none" w:sz="0" w:space="0" w:color="auto"/>
              </w:divBdr>
            </w:div>
            <w:div w:id="1552573311">
              <w:marLeft w:val="0"/>
              <w:marRight w:val="188"/>
              <w:marTop w:val="0"/>
              <w:marBottom w:val="0"/>
              <w:divBdr>
                <w:top w:val="none" w:sz="0" w:space="0" w:color="auto"/>
                <w:left w:val="none" w:sz="0" w:space="0" w:color="auto"/>
                <w:bottom w:val="none" w:sz="0" w:space="0" w:color="auto"/>
                <w:right w:val="none" w:sz="0" w:space="0" w:color="auto"/>
              </w:divBdr>
            </w:div>
          </w:divsChild>
        </w:div>
        <w:div w:id="1790971476">
          <w:marLeft w:val="0"/>
          <w:marRight w:val="0"/>
          <w:marTop w:val="0"/>
          <w:marBottom w:val="0"/>
          <w:divBdr>
            <w:top w:val="none" w:sz="0" w:space="0" w:color="auto"/>
            <w:left w:val="none" w:sz="0" w:space="0" w:color="auto"/>
            <w:bottom w:val="none" w:sz="0" w:space="0" w:color="auto"/>
            <w:right w:val="none" w:sz="0" w:space="0" w:color="auto"/>
          </w:divBdr>
          <w:divsChild>
            <w:div w:id="295262756">
              <w:marLeft w:val="0"/>
              <w:marRight w:val="0"/>
              <w:marTop w:val="0"/>
              <w:marBottom w:val="0"/>
              <w:divBdr>
                <w:top w:val="none" w:sz="0" w:space="0" w:color="auto"/>
                <w:left w:val="none" w:sz="0" w:space="0" w:color="auto"/>
                <w:bottom w:val="none" w:sz="0" w:space="0" w:color="auto"/>
                <w:right w:val="none" w:sz="0" w:space="0" w:color="auto"/>
              </w:divBdr>
            </w:div>
            <w:div w:id="118378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7508">
      <w:bodyDiv w:val="1"/>
      <w:marLeft w:val="0"/>
      <w:marRight w:val="0"/>
      <w:marTop w:val="0"/>
      <w:marBottom w:val="0"/>
      <w:divBdr>
        <w:top w:val="none" w:sz="0" w:space="0" w:color="auto"/>
        <w:left w:val="none" w:sz="0" w:space="0" w:color="auto"/>
        <w:bottom w:val="none" w:sz="0" w:space="0" w:color="auto"/>
        <w:right w:val="none" w:sz="0" w:space="0" w:color="auto"/>
      </w:divBdr>
      <w:divsChild>
        <w:div w:id="285046224">
          <w:marLeft w:val="0"/>
          <w:marRight w:val="0"/>
          <w:marTop w:val="0"/>
          <w:marBottom w:val="0"/>
          <w:divBdr>
            <w:top w:val="none" w:sz="0" w:space="0" w:color="auto"/>
            <w:left w:val="none" w:sz="0" w:space="0" w:color="auto"/>
            <w:bottom w:val="none" w:sz="0" w:space="0" w:color="auto"/>
            <w:right w:val="none" w:sz="0" w:space="0" w:color="auto"/>
          </w:divBdr>
        </w:div>
      </w:divsChild>
    </w:div>
    <w:div w:id="1811701726">
      <w:bodyDiv w:val="1"/>
      <w:marLeft w:val="0"/>
      <w:marRight w:val="0"/>
      <w:marTop w:val="0"/>
      <w:marBottom w:val="0"/>
      <w:divBdr>
        <w:top w:val="none" w:sz="0" w:space="0" w:color="auto"/>
        <w:left w:val="none" w:sz="0" w:space="0" w:color="auto"/>
        <w:bottom w:val="none" w:sz="0" w:space="0" w:color="auto"/>
        <w:right w:val="none" w:sz="0" w:space="0" w:color="auto"/>
      </w:divBdr>
    </w:div>
    <w:div w:id="2034264075">
      <w:bodyDiv w:val="1"/>
      <w:marLeft w:val="0"/>
      <w:marRight w:val="0"/>
      <w:marTop w:val="0"/>
      <w:marBottom w:val="0"/>
      <w:divBdr>
        <w:top w:val="none" w:sz="0" w:space="0" w:color="auto"/>
        <w:left w:val="none" w:sz="0" w:space="0" w:color="auto"/>
        <w:bottom w:val="none" w:sz="0" w:space="0" w:color="auto"/>
        <w:right w:val="none" w:sz="0" w:space="0" w:color="auto"/>
      </w:divBdr>
    </w:div>
    <w:div w:id="2065106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1786</TotalTime>
  <Pages>15</Pages>
  <Words>4983</Words>
  <Characters>2841</Characters>
  <Application>Microsoft Office Word</Application>
  <DocSecurity>0</DocSecurity>
  <Lines>23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45</cp:revision>
  <cp:lastPrinted>2021-12-01T10:52:00Z</cp:lastPrinted>
  <dcterms:created xsi:type="dcterms:W3CDTF">2020-10-16T07:18:00Z</dcterms:created>
  <dcterms:modified xsi:type="dcterms:W3CDTF">2021-12-01T14:49:00Z</dcterms:modified>
</cp:coreProperties>
</file>